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DB4DB">
      <w:pPr>
        <w:jc w:val="center"/>
        <w:rPr>
          <w:rFonts w:hint="eastAsia" w:ascii="宋体" w:hAnsi="宋体"/>
          <w:sz w:val="44"/>
          <w:szCs w:val="48"/>
        </w:rPr>
      </w:pPr>
    </w:p>
    <w:p w14:paraId="0074EF37">
      <w:pPr>
        <w:jc w:val="center"/>
        <w:rPr>
          <w:rFonts w:hint="eastAsia" w:ascii="宋体" w:hAnsi="宋体"/>
          <w:sz w:val="44"/>
          <w:szCs w:val="48"/>
        </w:rPr>
      </w:pPr>
      <w:r>
        <w:rPr>
          <w:rFonts w:hint="eastAsia" w:ascii="宋体" w:hAnsi="宋体"/>
          <w:sz w:val="44"/>
          <w:szCs w:val="48"/>
        </w:rPr>
        <w:t>中国重汽集团</w:t>
      </w:r>
    </w:p>
    <w:p w14:paraId="6F8CF34D">
      <w:pPr>
        <w:jc w:val="center"/>
        <w:rPr>
          <w:rFonts w:hint="eastAsia" w:ascii="宋体" w:hAnsi="宋体"/>
          <w:sz w:val="44"/>
          <w:szCs w:val="48"/>
          <w:lang w:eastAsia="zh-CN"/>
        </w:rPr>
      </w:pPr>
      <w:r>
        <w:rPr>
          <w:rFonts w:hint="eastAsia" w:ascii="宋体" w:hAnsi="宋体"/>
          <w:sz w:val="44"/>
          <w:szCs w:val="48"/>
          <w:lang w:eastAsia="zh-CN"/>
        </w:rPr>
        <w:t>泰安五岳专用汽车有限公司</w:t>
      </w:r>
    </w:p>
    <w:p w14:paraId="6F878856">
      <w:pPr>
        <w:ind w:right="280"/>
        <w:jc w:val="center"/>
        <w:rPr>
          <w:rFonts w:hint="eastAsia" w:ascii="宋体" w:hAnsi="宋体"/>
          <w:sz w:val="44"/>
          <w:szCs w:val="48"/>
          <w:lang w:eastAsia="zh-CN"/>
        </w:rPr>
      </w:pPr>
    </w:p>
    <w:p w14:paraId="68CCABBB">
      <w:pPr>
        <w:ind w:right="280"/>
        <w:jc w:val="center"/>
        <w:rPr>
          <w:rFonts w:hint="eastAsia" w:ascii="宋体" w:hAnsi="宋体"/>
          <w:sz w:val="44"/>
          <w:szCs w:val="48"/>
          <w:lang w:eastAsia="zh-CN"/>
        </w:rPr>
      </w:pPr>
    </w:p>
    <w:p w14:paraId="162E8838">
      <w:pPr>
        <w:ind w:right="280"/>
        <w:jc w:val="center"/>
        <w:rPr>
          <w:rFonts w:hint="eastAsia" w:ascii="宋体" w:hAnsi="宋体"/>
          <w:sz w:val="44"/>
          <w:szCs w:val="48"/>
          <w:lang w:eastAsia="zh-CN"/>
        </w:rPr>
      </w:pPr>
    </w:p>
    <w:p w14:paraId="1EAC2A1C">
      <w:pPr>
        <w:ind w:right="280"/>
        <w:jc w:val="center"/>
        <w:rPr>
          <w:rFonts w:hint="eastAsia" w:ascii="宋体" w:hAnsi="宋体"/>
          <w:b/>
          <w:bCs/>
          <w:sz w:val="48"/>
          <w:szCs w:val="48"/>
        </w:rPr>
      </w:pPr>
      <w:r>
        <w:rPr>
          <w:rFonts w:hint="eastAsia" w:ascii="宋体" w:hAnsi="宋体"/>
          <w:sz w:val="44"/>
          <w:szCs w:val="48"/>
          <w:lang w:eastAsia="zh-CN"/>
        </w:rPr>
        <w:t>危险废物处置项目</w:t>
      </w:r>
    </w:p>
    <w:p w14:paraId="1E11776E">
      <w:pPr>
        <w:jc w:val="center"/>
        <w:rPr>
          <w:sz w:val="28"/>
          <w:szCs w:val="28"/>
        </w:rPr>
      </w:pPr>
    </w:p>
    <w:p w14:paraId="4CF14A3E">
      <w:pPr>
        <w:pStyle w:val="30"/>
        <w:rPr>
          <w:sz w:val="28"/>
          <w:szCs w:val="28"/>
        </w:rPr>
      </w:pPr>
    </w:p>
    <w:p w14:paraId="480FB6D0">
      <w:pPr>
        <w:jc w:val="center"/>
        <w:rPr>
          <w:rFonts w:ascii="黑体" w:hAnsi="宋体" w:eastAsia="黑体"/>
          <w:sz w:val="56"/>
          <w:szCs w:val="84"/>
        </w:rPr>
      </w:pPr>
      <w:r>
        <w:rPr>
          <w:rFonts w:hint="eastAsia" w:ascii="黑体" w:hAnsi="宋体" w:eastAsia="黑体"/>
          <w:sz w:val="56"/>
          <w:szCs w:val="84"/>
        </w:rPr>
        <w:t>招</w:t>
      </w:r>
    </w:p>
    <w:p w14:paraId="7EA3509C">
      <w:pPr>
        <w:jc w:val="center"/>
        <w:rPr>
          <w:rFonts w:ascii="黑体" w:hAnsi="宋体" w:eastAsia="黑体"/>
          <w:sz w:val="56"/>
          <w:szCs w:val="84"/>
        </w:rPr>
      </w:pPr>
    </w:p>
    <w:p w14:paraId="632CEBB7">
      <w:pPr>
        <w:jc w:val="center"/>
        <w:rPr>
          <w:rFonts w:ascii="黑体" w:hAnsi="宋体" w:eastAsia="黑体"/>
          <w:sz w:val="56"/>
          <w:szCs w:val="84"/>
        </w:rPr>
      </w:pPr>
      <w:r>
        <w:rPr>
          <w:rFonts w:hint="eastAsia" w:ascii="黑体" w:hAnsi="宋体" w:eastAsia="黑体"/>
          <w:sz w:val="56"/>
          <w:szCs w:val="84"/>
        </w:rPr>
        <w:t>标</w:t>
      </w:r>
    </w:p>
    <w:p w14:paraId="4F7C939F">
      <w:pPr>
        <w:jc w:val="center"/>
        <w:rPr>
          <w:rFonts w:ascii="黑体" w:hAnsi="宋体" w:eastAsia="黑体"/>
          <w:sz w:val="56"/>
          <w:szCs w:val="84"/>
        </w:rPr>
      </w:pPr>
    </w:p>
    <w:p w14:paraId="7CFA5DAD">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公</w:t>
      </w:r>
    </w:p>
    <w:p w14:paraId="1821E41D">
      <w:pPr>
        <w:jc w:val="center"/>
        <w:rPr>
          <w:rFonts w:hint="eastAsia" w:ascii="黑体" w:hAnsi="宋体" w:eastAsia="黑体"/>
          <w:sz w:val="56"/>
          <w:szCs w:val="84"/>
          <w:lang w:val="en-US" w:eastAsia="zh-CN"/>
        </w:rPr>
      </w:pPr>
    </w:p>
    <w:p w14:paraId="6E65B619">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告</w:t>
      </w:r>
    </w:p>
    <w:p w14:paraId="27BA8B11">
      <w:pPr>
        <w:jc w:val="left"/>
        <w:rPr>
          <w:rFonts w:ascii="华文仿宋" w:hAnsi="华文仿宋" w:eastAsia="华文仿宋"/>
          <w:sz w:val="32"/>
          <w:szCs w:val="28"/>
        </w:rPr>
      </w:pPr>
    </w:p>
    <w:p w14:paraId="6A5152AF">
      <w:pPr>
        <w:pStyle w:val="30"/>
      </w:pPr>
    </w:p>
    <w:p w14:paraId="138E3224">
      <w:pPr>
        <w:jc w:val="center"/>
        <w:rPr>
          <w:rFonts w:hint="eastAsia"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p>
    <w:p w14:paraId="32184E0C">
      <w:pPr>
        <w:jc w:val="center"/>
        <w:rPr>
          <w:rFonts w:hint="eastAsia" w:ascii="宋体" w:hAnsi="宋体"/>
          <w:sz w:val="28"/>
          <w:szCs w:val="28"/>
        </w:rPr>
      </w:pPr>
    </w:p>
    <w:p w14:paraId="0BB8889E">
      <w:pPr>
        <w:spacing w:line="480" w:lineRule="auto"/>
        <w:jc w:val="center"/>
        <w:rPr>
          <w:rFonts w:ascii="宋体" w:hAnsi="宋体"/>
          <w:b/>
          <w:bCs/>
          <w:sz w:val="48"/>
          <w:szCs w:val="48"/>
        </w:rPr>
      </w:pPr>
      <w:r>
        <w:rPr>
          <w:rFonts w:ascii="宋体" w:hAnsi="宋体"/>
          <w:b/>
          <w:bCs/>
          <w:sz w:val="48"/>
          <w:szCs w:val="48"/>
        </w:rPr>
        <w:t>目   录</w:t>
      </w:r>
    </w:p>
    <w:p w14:paraId="0B307F76">
      <w:pPr>
        <w:ind w:right="280"/>
        <w:jc w:val="center"/>
        <w:rPr>
          <w:rFonts w:ascii="黑体" w:hAnsi="Courier New" w:eastAsia="黑体"/>
          <w:b/>
          <w:bCs/>
          <w:sz w:val="36"/>
          <w:szCs w:val="36"/>
        </w:rPr>
      </w:pPr>
    </w:p>
    <w:p w14:paraId="2AF60D00">
      <w:pPr>
        <w:ind w:right="280"/>
        <w:jc w:val="center"/>
        <w:rPr>
          <w:rFonts w:ascii="黑体" w:hAnsi="Courier New" w:eastAsia="黑体"/>
          <w:b/>
          <w:bCs/>
          <w:sz w:val="36"/>
          <w:szCs w:val="36"/>
        </w:rPr>
      </w:pPr>
    </w:p>
    <w:p w14:paraId="13811DA1">
      <w:pPr>
        <w:pStyle w:val="16"/>
        <w:ind w:firstLine="1687" w:firstLineChars="600"/>
      </w:pPr>
      <w:r>
        <w:rPr>
          <w:rFonts w:hint="eastAsia"/>
        </w:rPr>
        <w:t>第一章 招标公告</w:t>
      </w:r>
    </w:p>
    <w:p w14:paraId="56A9ACFC"/>
    <w:p w14:paraId="6997DB7C">
      <w:pPr>
        <w:pStyle w:val="16"/>
        <w:ind w:firstLine="1687" w:firstLineChars="600"/>
        <w:rPr>
          <w:rFonts w:hint="eastAsia"/>
        </w:rPr>
      </w:pPr>
      <w:r>
        <w:rPr>
          <w:rFonts w:hint="eastAsia"/>
        </w:rPr>
        <w:t>第</w:t>
      </w:r>
      <w:r>
        <w:rPr>
          <w:rFonts w:hint="eastAsia"/>
          <w:lang w:eastAsia="zh-CN"/>
        </w:rPr>
        <w:t>二</w:t>
      </w:r>
      <w:r>
        <w:rPr>
          <w:rFonts w:hint="eastAsia"/>
        </w:rPr>
        <w:t>章 技术协议书</w:t>
      </w:r>
    </w:p>
    <w:p w14:paraId="454509DB">
      <w:pPr>
        <w:pStyle w:val="30"/>
        <w:rPr>
          <w:rFonts w:hint="eastAsia"/>
        </w:rPr>
      </w:pPr>
    </w:p>
    <w:p w14:paraId="31FB3ADC">
      <w:pPr>
        <w:pStyle w:val="30"/>
        <w:ind w:firstLine="1687" w:firstLineChars="600"/>
        <w:rPr>
          <w:rFonts w:hint="eastAsia" w:ascii="宋体" w:hAnsi="宋体" w:eastAsia="宋体" w:cs="Times New Roman"/>
          <w:b/>
          <w:caps/>
          <w:color w:val="auto"/>
          <w:kern w:val="2"/>
          <w:sz w:val="28"/>
          <w:szCs w:val="28"/>
          <w:lang w:val="en-US" w:eastAsia="zh-CN" w:bidi="ar-SA"/>
        </w:rPr>
      </w:pPr>
      <w:r>
        <w:rPr>
          <w:rFonts w:hint="eastAsia" w:ascii="宋体" w:hAnsi="宋体" w:eastAsia="宋体" w:cs="Times New Roman"/>
          <w:b/>
          <w:caps/>
          <w:color w:val="auto"/>
          <w:kern w:val="2"/>
          <w:sz w:val="28"/>
          <w:szCs w:val="28"/>
          <w:lang w:val="en-US" w:eastAsia="zh-CN" w:bidi="ar-SA"/>
        </w:rPr>
        <w:t>附件</w:t>
      </w:r>
    </w:p>
    <w:p w14:paraId="4480143C">
      <w:pPr>
        <w:pStyle w:val="16"/>
      </w:pPr>
    </w:p>
    <w:p w14:paraId="76D3E203"/>
    <w:p w14:paraId="173ADBA3">
      <w:pPr>
        <w:ind w:right="280"/>
        <w:jc w:val="center"/>
        <w:rPr>
          <w:rFonts w:ascii="黑体" w:hAnsi="Courier New" w:eastAsia="黑体"/>
          <w:b/>
          <w:bCs/>
          <w:sz w:val="36"/>
          <w:szCs w:val="36"/>
        </w:rPr>
      </w:pPr>
    </w:p>
    <w:p w14:paraId="2AF73808">
      <w:pPr>
        <w:ind w:right="280"/>
        <w:jc w:val="center"/>
        <w:rPr>
          <w:rFonts w:ascii="黑体" w:hAnsi="Courier New" w:eastAsia="黑体"/>
          <w:b/>
          <w:bCs/>
          <w:sz w:val="36"/>
          <w:szCs w:val="36"/>
        </w:rPr>
      </w:pPr>
    </w:p>
    <w:p w14:paraId="4BEBC886">
      <w:pPr>
        <w:ind w:right="280"/>
        <w:jc w:val="center"/>
        <w:rPr>
          <w:rFonts w:ascii="黑体" w:hAnsi="Courier New" w:eastAsia="黑体"/>
          <w:b/>
          <w:bCs/>
          <w:sz w:val="36"/>
          <w:szCs w:val="36"/>
        </w:rPr>
      </w:pPr>
    </w:p>
    <w:p w14:paraId="4AF8BE36">
      <w:pPr>
        <w:ind w:right="280"/>
        <w:jc w:val="center"/>
        <w:rPr>
          <w:rFonts w:ascii="黑体" w:hAnsi="Courier New" w:eastAsia="黑体"/>
          <w:b/>
          <w:bCs/>
          <w:sz w:val="36"/>
          <w:szCs w:val="36"/>
        </w:rPr>
      </w:pPr>
    </w:p>
    <w:p w14:paraId="7FF4A92F">
      <w:pPr>
        <w:ind w:right="280"/>
        <w:jc w:val="center"/>
        <w:rPr>
          <w:rFonts w:ascii="黑体" w:hAnsi="Courier New" w:eastAsia="黑体"/>
          <w:b/>
          <w:bCs/>
          <w:sz w:val="36"/>
          <w:szCs w:val="36"/>
        </w:rPr>
      </w:pPr>
    </w:p>
    <w:p w14:paraId="13DFAB4A">
      <w:pPr>
        <w:ind w:right="280"/>
        <w:jc w:val="center"/>
        <w:rPr>
          <w:rFonts w:ascii="黑体" w:hAnsi="Courier New" w:eastAsia="黑体"/>
          <w:b/>
          <w:bCs/>
          <w:sz w:val="36"/>
          <w:szCs w:val="36"/>
        </w:rPr>
      </w:pPr>
    </w:p>
    <w:p w14:paraId="1686F6E0">
      <w:pPr>
        <w:ind w:right="280"/>
        <w:jc w:val="center"/>
        <w:rPr>
          <w:rFonts w:ascii="黑体" w:hAnsi="Courier New" w:eastAsia="黑体"/>
          <w:b/>
          <w:bCs/>
          <w:sz w:val="36"/>
          <w:szCs w:val="36"/>
        </w:rPr>
      </w:pPr>
    </w:p>
    <w:p w14:paraId="0281FB72">
      <w:pPr>
        <w:pStyle w:val="30"/>
        <w:rPr>
          <w:rFonts w:ascii="黑体" w:hAnsi="Courier New" w:eastAsia="黑体"/>
          <w:b/>
          <w:bCs/>
          <w:sz w:val="36"/>
          <w:szCs w:val="36"/>
        </w:rPr>
      </w:pPr>
    </w:p>
    <w:p w14:paraId="3B17A48F">
      <w:pPr>
        <w:pStyle w:val="30"/>
        <w:rPr>
          <w:rFonts w:ascii="黑体" w:hAnsi="Courier New" w:eastAsia="黑体"/>
          <w:b/>
          <w:bCs/>
          <w:sz w:val="36"/>
          <w:szCs w:val="36"/>
        </w:rPr>
      </w:pPr>
    </w:p>
    <w:p w14:paraId="58DA907D">
      <w:pPr>
        <w:pStyle w:val="30"/>
        <w:rPr>
          <w:rFonts w:ascii="黑体" w:hAnsi="Courier New" w:eastAsia="黑体"/>
          <w:b/>
          <w:bCs/>
          <w:sz w:val="36"/>
          <w:szCs w:val="36"/>
        </w:rPr>
      </w:pPr>
    </w:p>
    <w:p w14:paraId="2AD0AAF1">
      <w:pPr>
        <w:pStyle w:val="30"/>
        <w:rPr>
          <w:rFonts w:ascii="黑体" w:hAnsi="Courier New" w:eastAsia="黑体"/>
          <w:b/>
          <w:bCs/>
          <w:sz w:val="36"/>
          <w:szCs w:val="36"/>
        </w:rPr>
      </w:pPr>
    </w:p>
    <w:p w14:paraId="0CB4D2F0">
      <w:pPr>
        <w:pStyle w:val="30"/>
        <w:rPr>
          <w:rFonts w:ascii="黑体" w:hAnsi="Courier New" w:eastAsia="黑体"/>
          <w:b/>
          <w:bCs/>
          <w:sz w:val="36"/>
          <w:szCs w:val="36"/>
        </w:rPr>
      </w:pPr>
    </w:p>
    <w:p w14:paraId="782F560C">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330A0FF1">
      <w:pPr>
        <w:pStyle w:val="11"/>
        <w:numPr>
          <w:ilvl w:val="0"/>
          <w:numId w:val="1"/>
        </w:numPr>
        <w:spacing w:line="360" w:lineRule="auto"/>
        <w:rPr>
          <w:rFonts w:ascii="黑体" w:eastAsia="黑体"/>
          <w:b/>
          <w:bCs/>
          <w:sz w:val="28"/>
        </w:rPr>
      </w:pPr>
      <w:r>
        <w:rPr>
          <w:rFonts w:hint="eastAsia" w:ascii="黑体" w:eastAsia="黑体"/>
          <w:b/>
          <w:bCs/>
          <w:sz w:val="28"/>
        </w:rPr>
        <w:t>项目名称</w:t>
      </w:r>
    </w:p>
    <w:p w14:paraId="7F057A3D">
      <w:pPr>
        <w:ind w:firstLine="420" w:firstLineChars="200"/>
        <w:rPr>
          <w:rFonts w:hint="default" w:eastAsia="宋体"/>
          <w:lang w:val="en-US" w:eastAsia="zh-CN"/>
        </w:rPr>
      </w:pPr>
      <w:r>
        <w:rPr>
          <w:rFonts w:hint="eastAsia"/>
        </w:rPr>
        <w:t>项目名称：</w:t>
      </w:r>
      <w:bookmarkStart w:id="0" w:name="OLE_LINK1"/>
      <w:r>
        <w:rPr>
          <w:rFonts w:hint="eastAsia"/>
          <w:lang w:val="en-US" w:eastAsia="zh-CN"/>
        </w:rPr>
        <w:t>泰安五岳公司危险废物处置项目</w:t>
      </w:r>
    </w:p>
    <w:bookmarkEnd w:id="0"/>
    <w:p w14:paraId="0B3EB051">
      <w:pPr>
        <w:pStyle w:val="11"/>
        <w:numPr>
          <w:ilvl w:val="0"/>
          <w:numId w:val="1"/>
        </w:numPr>
        <w:spacing w:line="360" w:lineRule="auto"/>
        <w:rPr>
          <w:rFonts w:ascii="黑体" w:eastAsia="黑体"/>
          <w:b/>
          <w:bCs/>
          <w:sz w:val="28"/>
        </w:rPr>
      </w:pPr>
      <w:r>
        <w:rPr>
          <w:rFonts w:hint="eastAsia" w:ascii="黑体" w:eastAsia="黑体"/>
          <w:b/>
          <w:bCs/>
          <w:sz w:val="28"/>
        </w:rPr>
        <w:t>招标内容</w:t>
      </w:r>
    </w:p>
    <w:p w14:paraId="38AC59EC">
      <w:pPr>
        <w:pStyle w:val="11"/>
        <w:spacing w:line="360" w:lineRule="auto"/>
        <w:ind w:firstLine="525" w:firstLineChars="250"/>
        <w:rPr>
          <w:rFonts w:hint="eastAsia" w:ascii="Times New Roman" w:hAnsi="Times New Roman" w:eastAsia="宋体" w:cs="Times New Roman"/>
          <w:kern w:val="2"/>
          <w:sz w:val="21"/>
          <w:lang w:val="en-US" w:eastAsia="zh-CN" w:bidi="ar-SA"/>
        </w:rPr>
      </w:pPr>
      <w:r>
        <w:rPr>
          <w:rFonts w:hint="eastAsia"/>
        </w:rPr>
        <w:t>招标内容：泰安五岳公司产生的</w:t>
      </w:r>
      <w:r>
        <w:rPr>
          <w:rFonts w:hint="eastAsia"/>
          <w:lang w:val="en-US" w:eastAsia="zh-CN"/>
        </w:rPr>
        <w:t>危险废物HW49类（废包装材料、废活性炭、废抹布、废滤材、漆渣）、HW12类（废液压油桶、废液压油）</w:t>
      </w:r>
      <w:r>
        <w:rPr>
          <w:rFonts w:hint="eastAsia"/>
        </w:rPr>
        <w:t>。</w:t>
      </w:r>
    </w:p>
    <w:p w14:paraId="759BD59B">
      <w:pPr>
        <w:pStyle w:val="11"/>
        <w:numPr>
          <w:ilvl w:val="0"/>
          <w:numId w:val="1"/>
        </w:numPr>
        <w:spacing w:line="360" w:lineRule="auto"/>
        <w:rPr>
          <w:rFonts w:ascii="黑体" w:eastAsia="黑体"/>
          <w:b/>
          <w:bCs/>
          <w:sz w:val="28"/>
        </w:rPr>
      </w:pPr>
      <w:r>
        <w:rPr>
          <w:rFonts w:hint="eastAsia" w:ascii="黑体" w:eastAsia="黑体"/>
          <w:b/>
          <w:bCs/>
          <w:sz w:val="28"/>
        </w:rPr>
        <w:t>招标形式</w:t>
      </w:r>
    </w:p>
    <w:p w14:paraId="23DFEB1E">
      <w:pPr>
        <w:pStyle w:val="11"/>
        <w:spacing w:line="360" w:lineRule="auto"/>
        <w:ind w:firstLine="420" w:firstLineChars="200"/>
        <w:rPr>
          <w:rFonts w:hint="eastAsia" w:eastAsia="宋体"/>
          <w:lang w:val="en-US" w:eastAsia="zh-CN"/>
        </w:rPr>
      </w:pPr>
      <w:r>
        <w:rPr>
          <w:rFonts w:hint="eastAsia"/>
        </w:rPr>
        <w:t>招标形式：</w:t>
      </w:r>
      <w:r>
        <w:rPr>
          <w:rFonts w:hint="eastAsia"/>
          <w:lang w:eastAsia="zh-CN"/>
        </w:rPr>
        <w:t>公开招标</w:t>
      </w:r>
    </w:p>
    <w:p w14:paraId="056C1E69">
      <w:pPr>
        <w:pStyle w:val="11"/>
        <w:numPr>
          <w:ilvl w:val="0"/>
          <w:numId w:val="1"/>
        </w:numPr>
        <w:spacing w:line="360" w:lineRule="auto"/>
        <w:rPr>
          <w:rFonts w:ascii="黑体" w:eastAsia="黑体"/>
          <w:b/>
          <w:bCs/>
          <w:sz w:val="28"/>
        </w:rPr>
      </w:pPr>
      <w:r>
        <w:rPr>
          <w:rFonts w:hint="eastAsia" w:ascii="黑体" w:eastAsia="黑体"/>
          <w:b/>
          <w:bCs/>
          <w:sz w:val="28"/>
        </w:rPr>
        <w:t>议程安排</w:t>
      </w:r>
    </w:p>
    <w:p w14:paraId="7DC65B23">
      <w:pPr>
        <w:pStyle w:val="11"/>
        <w:numPr>
          <w:ilvl w:val="0"/>
          <w:numId w:val="2"/>
        </w:numPr>
        <w:spacing w:line="360" w:lineRule="auto"/>
        <w:ind w:left="420"/>
        <w:rPr>
          <w:b/>
          <w:bCs/>
        </w:rPr>
      </w:pPr>
      <w:r>
        <w:rPr>
          <w:rFonts w:hint="eastAsia"/>
          <w:b/>
          <w:bCs/>
        </w:rPr>
        <w:t>答疑时间：</w:t>
      </w:r>
      <w:r>
        <w:rPr>
          <w:rFonts w:hint="eastAsia"/>
        </w:rPr>
        <w:t>截止至202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日下午</w:t>
      </w:r>
      <w:r>
        <w:t>17</w:t>
      </w:r>
      <w:r>
        <w:rPr>
          <w:rFonts w:hint="eastAsia"/>
        </w:rPr>
        <w:t>点前</w:t>
      </w:r>
    </w:p>
    <w:p w14:paraId="38DD8C94">
      <w:pPr>
        <w:pStyle w:val="11"/>
        <w:numPr>
          <w:ilvl w:val="0"/>
          <w:numId w:val="2"/>
        </w:numPr>
        <w:spacing w:line="360" w:lineRule="auto"/>
        <w:ind w:left="420"/>
        <w:rPr>
          <w:rFonts w:hint="eastAsia"/>
          <w:b/>
          <w:bCs/>
        </w:rPr>
      </w:pPr>
      <w:r>
        <w:rPr>
          <w:rFonts w:hint="eastAsia"/>
          <w:b/>
          <w:bCs/>
        </w:rPr>
        <w:t>答疑方式：电话答疑。</w:t>
      </w:r>
    </w:p>
    <w:p w14:paraId="4B6C07B0">
      <w:pPr>
        <w:pStyle w:val="11"/>
        <w:numPr>
          <w:ilvl w:val="0"/>
          <w:numId w:val="2"/>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w:t>
      </w:r>
      <w:r>
        <w:rPr>
          <w:rFonts w:hint="eastAsia"/>
        </w:rP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w:t>
      </w:r>
      <w:r>
        <w:rPr>
          <w:rFonts w:hint="eastAsia"/>
          <w:lang w:eastAsia="zh-CN"/>
        </w:rPr>
        <w:t>下午</w:t>
      </w:r>
      <w:r>
        <w:rPr>
          <w:rFonts w:hint="eastAsia"/>
          <w:lang w:val="en-US" w:eastAsia="zh-CN"/>
        </w:rPr>
        <w:t>13</w:t>
      </w:r>
      <w:r>
        <w:rPr>
          <w:rFonts w:hint="eastAsia"/>
          <w:highlight w:val="none"/>
        </w:rPr>
        <w:t>点开标。</w:t>
      </w:r>
      <w:r>
        <w:rPr>
          <w:rFonts w:hint="eastAsia"/>
          <w:highlight w:val="none"/>
          <w:lang w:eastAsia="zh-CN"/>
        </w:rPr>
        <w:t>（暂定）</w:t>
      </w:r>
    </w:p>
    <w:p w14:paraId="5764949B">
      <w:pPr>
        <w:pStyle w:val="11"/>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投标招标事宜联系人：</w:t>
      </w:r>
    </w:p>
    <w:p w14:paraId="7053A6FF">
      <w:pPr>
        <w:pStyle w:val="11"/>
        <w:numPr>
          <w:ilvl w:val="0"/>
          <w:numId w:val="0"/>
        </w:numPr>
        <w:spacing w:line="360" w:lineRule="auto"/>
        <w:ind w:left="420" w:leftChars="0"/>
        <w:rPr>
          <w:rFonts w:hint="default" w:eastAsia="宋体"/>
          <w:b w:val="0"/>
          <w:bCs w:val="0"/>
          <w:highlight w:val="none"/>
          <w:lang w:val="en-US" w:eastAsia="zh-CN"/>
        </w:rPr>
      </w:pPr>
      <w:r>
        <w:rPr>
          <w:rFonts w:hint="eastAsia"/>
          <w:b w:val="0"/>
          <w:bCs w:val="0"/>
          <w:highlight w:val="none"/>
          <w:lang w:val="en-US" w:eastAsia="zh-CN"/>
        </w:rPr>
        <w:t>杨富涛   联系电话：15005481753</w:t>
      </w:r>
    </w:p>
    <w:p w14:paraId="08D4BDD0">
      <w:pPr>
        <w:pStyle w:val="11"/>
        <w:numPr>
          <w:ilvl w:val="0"/>
          <w:numId w:val="0"/>
        </w:numPr>
        <w:spacing w:line="360" w:lineRule="auto"/>
        <w:ind w:left="420" w:leftChars="0"/>
        <w:rPr>
          <w:rFonts w:hint="eastAsia"/>
          <w:highlight w:val="none"/>
          <w:lang w:val="en-US" w:eastAsia="zh-CN"/>
        </w:rPr>
      </w:pPr>
      <w:r>
        <w:rPr>
          <w:rFonts w:hint="eastAsia"/>
          <w:b w:val="0"/>
          <w:bCs w:val="0"/>
          <w:highlight w:val="none"/>
          <w:lang w:val="en-US" w:eastAsia="zh-CN"/>
        </w:rPr>
        <w:t>亓祥斌</w:t>
      </w:r>
      <w:r>
        <w:rPr>
          <w:rFonts w:hint="eastAsia"/>
          <w:highlight w:val="none"/>
          <w:lang w:val="en-US" w:eastAsia="zh-CN"/>
        </w:rPr>
        <w:t xml:space="preserve">   </w:t>
      </w:r>
      <w:r>
        <w:rPr>
          <w:rFonts w:hint="eastAsia"/>
          <w:highlight w:val="none"/>
        </w:rPr>
        <w:t>联系电话：</w:t>
      </w:r>
      <w:r>
        <w:rPr>
          <w:rFonts w:hint="eastAsia"/>
          <w:highlight w:val="none"/>
          <w:lang w:val="en-US" w:eastAsia="zh-CN"/>
        </w:rPr>
        <w:t>18888306679</w:t>
      </w:r>
    </w:p>
    <w:p w14:paraId="6BC47CFF">
      <w:pPr>
        <w:pStyle w:val="11"/>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w:t>
      </w:r>
      <w:r>
        <w:rPr>
          <w:rFonts w:hint="eastAsia"/>
          <w:b/>
          <w:bCs/>
          <w:highlight w:val="none"/>
          <w:lang w:eastAsia="zh-CN"/>
        </w:rPr>
        <w:t>邮箱：</w:t>
      </w:r>
      <w:r>
        <w:rPr>
          <w:rFonts w:hint="eastAsia"/>
          <w:b/>
          <w:bCs/>
          <w:sz w:val="28"/>
          <w:szCs w:val="24"/>
          <w:highlight w:val="none"/>
          <w:lang w:val="en-US" w:eastAsia="zh-CN"/>
        </w:rPr>
        <w:t>tqajshdb@163.com</w:t>
      </w:r>
    </w:p>
    <w:p w14:paraId="20D7F531">
      <w:pPr>
        <w:pStyle w:val="11"/>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2D4F5929">
      <w:pPr>
        <w:pStyle w:val="11"/>
        <w:spacing w:line="360" w:lineRule="auto"/>
        <w:ind w:firstLine="422" w:firstLineChars="200"/>
        <w:rPr>
          <w:b/>
        </w:rPr>
      </w:pPr>
      <w:r>
        <w:rPr>
          <w:rFonts w:hint="eastAsia"/>
          <w:b/>
        </w:rPr>
        <w:t>1.合格投标人：</w:t>
      </w:r>
    </w:p>
    <w:p w14:paraId="1973C07B">
      <w:pPr>
        <w:pStyle w:val="11"/>
        <w:spacing w:line="360" w:lineRule="auto"/>
        <w:ind w:firstLine="420" w:firstLineChars="200"/>
        <w:rPr>
          <w:rFonts w:hint="eastAsia"/>
        </w:rPr>
      </w:pPr>
      <w:r>
        <w:rPr>
          <w:rFonts w:hint="eastAsia"/>
        </w:rPr>
        <w:t>1.投标人须遵守《</w:t>
      </w:r>
      <w:bookmarkStart w:id="1" w:name="OLE_LINK2"/>
      <w:bookmarkStart w:id="2" w:name="OLE_LINK3"/>
      <w:r>
        <w:rPr>
          <w:rFonts w:hint="eastAsia"/>
        </w:rPr>
        <w:t>中华人民共和国招标投标法</w:t>
      </w:r>
      <w:bookmarkEnd w:id="1"/>
      <w:bookmarkEnd w:id="2"/>
      <w:r>
        <w:rPr>
          <w:rFonts w:hint="eastAsia"/>
        </w:rPr>
        <w:t>》、《中华人民共和国民法典》及其它有关的法律和法规；为中华人民共和国境内注册的独立法人机构，具有独立承担民事责任能力；</w:t>
      </w:r>
    </w:p>
    <w:p w14:paraId="619D8DAF">
      <w:pPr>
        <w:pStyle w:val="11"/>
        <w:spacing w:line="360" w:lineRule="auto"/>
        <w:ind w:firstLine="420" w:firstLineChars="200"/>
        <w:rPr>
          <w:rFonts w:hint="eastAsia"/>
          <w:b/>
        </w:rPr>
      </w:pPr>
      <w:r>
        <w:rPr>
          <w:rFonts w:hint="eastAsia" w:hAnsi="宋体"/>
          <w:szCs w:val="21"/>
        </w:rPr>
        <w:t>2. 持有当地生态环境局</w:t>
      </w:r>
      <w:r>
        <w:rPr>
          <w:rFonts w:hint="eastAsia"/>
        </w:rPr>
        <w:t>(厅)核发的正式危险废物经营许可证，</w:t>
      </w:r>
      <w:r>
        <w:rPr>
          <w:rFonts w:hint="eastAsia"/>
          <w:b/>
        </w:rPr>
        <w:t>且危险废物经营许可证</w:t>
      </w:r>
      <w:r>
        <w:rPr>
          <w:rFonts w:hint="eastAsia"/>
          <w:b/>
          <w:lang w:val="en-US" w:eastAsia="zh-CN"/>
        </w:rPr>
        <w:t>在</w:t>
      </w:r>
      <w:r>
        <w:rPr>
          <w:rFonts w:hint="eastAsia"/>
          <w:b/>
        </w:rPr>
        <w:t>有效期</w:t>
      </w:r>
      <w:r>
        <w:rPr>
          <w:rFonts w:hint="eastAsia"/>
          <w:b/>
          <w:lang w:val="en-US" w:eastAsia="zh-CN"/>
        </w:rPr>
        <w:t>之内</w:t>
      </w:r>
      <w:r>
        <w:rPr>
          <w:rFonts w:hint="eastAsia"/>
          <w:b/>
        </w:rPr>
        <w:t>；</w:t>
      </w:r>
    </w:p>
    <w:p w14:paraId="01FCEF79">
      <w:pPr>
        <w:pStyle w:val="11"/>
        <w:spacing w:line="360" w:lineRule="auto"/>
        <w:ind w:firstLine="420" w:firstLineChars="200"/>
        <w:rPr>
          <w:rFonts w:hAnsi="宋体"/>
          <w:szCs w:val="21"/>
        </w:rPr>
      </w:pPr>
      <w:r>
        <w:rPr>
          <w:rFonts w:hint="eastAsia"/>
        </w:rPr>
        <w:t xml:space="preserve">3. </w:t>
      </w:r>
      <w:r>
        <w:rPr>
          <w:rFonts w:hint="eastAsia"/>
          <w:b/>
        </w:rPr>
        <w:t>公司成立且取得相应资质</w:t>
      </w:r>
      <w:r>
        <w:rPr>
          <w:rFonts w:hint="eastAsia"/>
          <w:b/>
          <w:lang w:val="en-US" w:eastAsia="zh-CN"/>
        </w:rPr>
        <w:t>一</w:t>
      </w:r>
      <w:r>
        <w:rPr>
          <w:rFonts w:hint="eastAsia"/>
          <w:b/>
        </w:rPr>
        <w:t>年以上（以生态环境部门颁发危险废物许可证或生态环境部门批复准予经营的文件为准；</w:t>
      </w:r>
      <w:r>
        <w:rPr>
          <w:rFonts w:hint="eastAsia"/>
        </w:rPr>
        <w:t>注册资金不少于</w:t>
      </w:r>
      <w:r>
        <w:rPr>
          <w:rFonts w:hint="eastAsia"/>
          <w:lang w:val="en-US" w:eastAsia="zh-CN"/>
        </w:rPr>
        <w:t>1</w:t>
      </w:r>
      <w:r>
        <w:rPr>
          <w:rFonts w:hint="eastAsia"/>
        </w:rPr>
        <w:t>0万元人民币</w:t>
      </w:r>
      <w:r>
        <w:rPr>
          <w:rFonts w:hint="eastAsia" w:hAnsi="宋体"/>
          <w:sz w:val="24"/>
        </w:rPr>
        <w:t>；</w:t>
      </w:r>
      <w:r>
        <w:rPr>
          <w:rFonts w:hint="eastAsia" w:hAnsi="宋体"/>
          <w:szCs w:val="21"/>
        </w:rPr>
        <w:t xml:space="preserve"> </w:t>
      </w:r>
      <w:r>
        <w:rPr>
          <w:rFonts w:hint="eastAsia"/>
        </w:rPr>
        <w:t>经营范围满足招标项目需求，</w:t>
      </w:r>
      <w:r>
        <w:rPr>
          <w:rFonts w:hint="eastAsia" w:hAnsi="宋体"/>
          <w:szCs w:val="21"/>
        </w:rPr>
        <w:t>并</w:t>
      </w:r>
      <w:r>
        <w:rPr>
          <w:rFonts w:hAnsi="宋体"/>
          <w:szCs w:val="21"/>
        </w:rPr>
        <w:t>在人员、设备、资金等方面具有承担本</w:t>
      </w:r>
      <w:r>
        <w:rPr>
          <w:rFonts w:hint="eastAsia" w:hAnsi="宋体"/>
          <w:szCs w:val="21"/>
        </w:rPr>
        <w:t>项目</w:t>
      </w:r>
      <w:r>
        <w:rPr>
          <w:rFonts w:hAnsi="宋体"/>
          <w:szCs w:val="21"/>
        </w:rPr>
        <w:t>的能力</w:t>
      </w:r>
      <w:r>
        <w:rPr>
          <w:rFonts w:hint="eastAsia" w:hAnsi="宋体"/>
          <w:szCs w:val="21"/>
        </w:rPr>
        <w:t>；</w:t>
      </w:r>
    </w:p>
    <w:p w14:paraId="03D4B0D1">
      <w:pPr>
        <w:pStyle w:val="18"/>
        <w:spacing w:line="360" w:lineRule="auto"/>
        <w:ind w:firstLine="422" w:firstLineChars="200"/>
        <w:rPr>
          <w:rFonts w:hAnsi="Courier New" w:cs="Times New Roman"/>
          <w:b/>
          <w:kern w:val="2"/>
          <w:sz w:val="21"/>
          <w:szCs w:val="20"/>
        </w:rPr>
      </w:pPr>
      <w:r>
        <w:rPr>
          <w:rFonts w:hint="eastAsia" w:hAnsi="Courier New" w:cs="Times New Roman"/>
          <w:b/>
          <w:kern w:val="2"/>
          <w:sz w:val="21"/>
          <w:szCs w:val="20"/>
        </w:rPr>
        <w:t>4.</w:t>
      </w:r>
      <w:r>
        <w:rPr>
          <w:rFonts w:hAnsi="Courier New" w:cs="Times New Roman"/>
          <w:b/>
          <w:kern w:val="2"/>
          <w:sz w:val="21"/>
          <w:szCs w:val="20"/>
        </w:rPr>
        <w:t>投标人</w:t>
      </w:r>
      <w:r>
        <w:rPr>
          <w:rFonts w:hint="eastAsia" w:hAnsi="Courier New" w:cs="Times New Roman"/>
          <w:b/>
          <w:kern w:val="2"/>
          <w:sz w:val="21"/>
          <w:szCs w:val="20"/>
        </w:rPr>
        <w:t>具有良好的商业信誉，</w:t>
      </w:r>
      <w:r>
        <w:rPr>
          <w:rFonts w:hAnsi="Courier New" w:cs="Times New Roman"/>
          <w:b/>
          <w:kern w:val="2"/>
          <w:sz w:val="21"/>
          <w:szCs w:val="20"/>
        </w:rPr>
        <w:t>未被列入</w:t>
      </w:r>
      <w:r>
        <w:rPr>
          <w:rFonts w:hint="eastAsia" w:hAnsi="Courier New" w:cs="Times New Roman"/>
          <w:b/>
          <w:kern w:val="2"/>
          <w:sz w:val="21"/>
          <w:szCs w:val="20"/>
        </w:rPr>
        <w:t>过</w:t>
      </w:r>
      <w:r>
        <w:rPr>
          <w:rFonts w:hAnsi="Courier New" w:cs="Times New Roman"/>
          <w:b/>
          <w:kern w:val="2"/>
          <w:sz w:val="21"/>
          <w:szCs w:val="20"/>
        </w:rPr>
        <w:t>经营异常名录和未曾列入严重违法失信企业名单</w:t>
      </w:r>
      <w:r>
        <w:rPr>
          <w:rFonts w:hint="eastAsia" w:hAnsi="Courier New" w:cs="Times New Roman"/>
          <w:b/>
          <w:kern w:val="2"/>
          <w:sz w:val="21"/>
          <w:szCs w:val="20"/>
        </w:rPr>
        <w:t xml:space="preserve">，未曾有过行政处罚及环境违法； 如不如实告知, 一经查实一票否决。在“国家企业信用信息公示系统”、“中国执行信息公开网”、“信用中国”、“天眼查”“裁判文书网”等信息平台中，无行政处罚、失信记录及未被列入过经营异常名录等信息；无招标违规、谎报年度报告信息、提供虚假资质资料等行为或其他行政处罚记录。 </w:t>
      </w:r>
    </w:p>
    <w:p w14:paraId="45EDD0CF">
      <w:pPr>
        <w:pStyle w:val="11"/>
        <w:spacing w:line="360" w:lineRule="auto"/>
        <w:ind w:firstLine="420" w:firstLineChars="200"/>
      </w:pPr>
      <w:r>
        <w:rPr>
          <w:rFonts w:hint="eastAsia"/>
        </w:rPr>
        <w:t>5.</w:t>
      </w:r>
      <w:r>
        <w:rPr>
          <w:rFonts w:hint="eastAsia"/>
          <w:lang w:val="en-US" w:eastAsia="zh-CN"/>
        </w:rPr>
        <w:t xml:space="preserve"> </w:t>
      </w:r>
      <w:r>
        <w:rPr>
          <w:rFonts w:hint="eastAsia"/>
        </w:rPr>
        <w:t>具有健全的财务会计制度，有依法缴纳税收和社会保障资金的良好记录</w:t>
      </w:r>
      <w:r>
        <w:rPr>
          <w:rFonts w:hint="eastAsia"/>
          <w:lang w:eastAsia="zh-CN"/>
        </w:rPr>
        <w:t>。</w:t>
      </w:r>
    </w:p>
    <w:p w14:paraId="202AB0B5">
      <w:pPr>
        <w:pStyle w:val="18"/>
        <w:ind w:firstLine="420" w:firstLineChars="200"/>
        <w:rPr>
          <w:rFonts w:hint="eastAsia"/>
        </w:rPr>
      </w:pPr>
      <w:r>
        <w:rPr>
          <w:rFonts w:hint="eastAsia" w:hAnsi="Courier New" w:cs="Times New Roman"/>
          <w:kern w:val="2"/>
          <w:sz w:val="21"/>
          <w:szCs w:val="20"/>
          <w:lang w:val="en-US" w:eastAsia="zh-CN"/>
        </w:rPr>
        <w:t>6</w:t>
      </w:r>
      <w:r>
        <w:rPr>
          <w:rFonts w:hint="eastAsia" w:hAnsi="Courier New" w:cs="Times New Roman"/>
          <w:kern w:val="2"/>
          <w:sz w:val="21"/>
          <w:szCs w:val="20"/>
        </w:rPr>
        <w:t>.</w:t>
      </w:r>
      <w:r>
        <w:rPr>
          <w:rFonts w:hint="eastAsia" w:hAnsi="Courier New" w:cs="Times New Roman"/>
          <w:kern w:val="2"/>
          <w:sz w:val="21"/>
          <w:szCs w:val="20"/>
          <w:lang w:val="en-US" w:eastAsia="zh-CN"/>
        </w:rPr>
        <w:t xml:space="preserve"> </w:t>
      </w:r>
      <w:r>
        <w:rPr>
          <w:rFonts w:hint="eastAsia" w:hAnsi="Courier New" w:cs="Times New Roman"/>
          <w:kern w:val="2"/>
          <w:sz w:val="21"/>
          <w:szCs w:val="20"/>
        </w:rPr>
        <w:t>近三年内未发生过安全生产事故；且在近三年内的经营活动中经营业绩良好并且没有违法违纪行为；投标人没有被列入招标人《黑名单》（《黑名单》指投标人与招标人在以往或正在进行的合作中，存在招标人认为的违反合同约定或违反法律法规等的失信行为）的。</w:t>
      </w:r>
    </w:p>
    <w:p w14:paraId="7CE815DF">
      <w:pPr>
        <w:pStyle w:val="11"/>
        <w:spacing w:line="360" w:lineRule="auto"/>
        <w:ind w:firstLine="440" w:firstLineChars="200"/>
        <w:rPr>
          <w:rFonts w:ascii="Courier New" w:cs="Courier New"/>
          <w:kern w:val="0"/>
          <w:sz w:val="22"/>
        </w:rPr>
      </w:pPr>
      <w:r>
        <w:rPr>
          <w:rFonts w:hint="eastAsia" w:ascii="Courier New" w:cs="Courier New"/>
          <w:kern w:val="0"/>
          <w:sz w:val="22"/>
          <w:lang w:val="en-US" w:eastAsia="zh-CN"/>
        </w:rPr>
        <w:t>7</w:t>
      </w:r>
      <w:r>
        <w:rPr>
          <w:rFonts w:hint="eastAsia" w:ascii="Courier New" w:cs="Courier New"/>
          <w:kern w:val="0"/>
          <w:sz w:val="22"/>
        </w:rPr>
        <w:t>.</w:t>
      </w:r>
      <w:r>
        <w:rPr>
          <w:rFonts w:hint="eastAsia" w:ascii="Courier New" w:cs="Courier New"/>
          <w:kern w:val="0"/>
          <w:sz w:val="22"/>
          <w:lang w:val="en-US" w:eastAsia="zh-CN"/>
        </w:rPr>
        <w:t xml:space="preserve"> </w:t>
      </w:r>
      <w:r>
        <w:rPr>
          <w:rFonts w:hint="eastAsia" w:ascii="Courier New" w:cs="Courier New"/>
          <w:kern w:val="0"/>
          <w:sz w:val="22"/>
        </w:rPr>
        <w:t>制定环境保护、道路交通运输事故应急预案，并开展演练（投标人须提供应急预案及演练报告复印件）</w:t>
      </w:r>
    </w:p>
    <w:p w14:paraId="38570416">
      <w:pPr>
        <w:pStyle w:val="11"/>
        <w:spacing w:line="360" w:lineRule="auto"/>
        <w:ind w:firstLine="420" w:firstLineChars="200"/>
      </w:pPr>
      <w:r>
        <w:rPr>
          <w:rFonts w:hint="eastAsia"/>
          <w:lang w:val="en-US" w:eastAsia="zh-CN"/>
        </w:rPr>
        <w:t>8</w:t>
      </w:r>
      <w:r>
        <w:rPr>
          <w:rFonts w:hint="eastAsia"/>
        </w:rPr>
        <w:t>.</w:t>
      </w:r>
      <w:r>
        <w:rPr>
          <w:rFonts w:hint="eastAsia"/>
          <w:lang w:val="en-US" w:eastAsia="zh-CN"/>
        </w:rPr>
        <w:t xml:space="preserve"> </w:t>
      </w:r>
      <w:r>
        <w:rPr>
          <w:rFonts w:hint="eastAsia"/>
        </w:rPr>
        <w:t>投标人必须是最终中标并签订合同的单位，不得以任何理由将已中标项目以任何形式转包给其他单位；</w:t>
      </w:r>
    </w:p>
    <w:p w14:paraId="394FB987">
      <w:pPr>
        <w:pStyle w:val="11"/>
        <w:spacing w:line="360" w:lineRule="auto"/>
        <w:ind w:left="630" w:leftChars="200" w:hanging="210" w:hangingChars="100"/>
      </w:pPr>
      <w:r>
        <w:rPr>
          <w:rFonts w:hint="eastAsia"/>
          <w:lang w:val="en-US" w:eastAsia="zh-CN"/>
        </w:rPr>
        <w:t>9</w:t>
      </w:r>
      <w:r>
        <w:rPr>
          <w:rFonts w:hint="eastAsia"/>
        </w:rPr>
        <w:t>. 投标人之间必须</w:t>
      </w:r>
      <w:bookmarkStart w:id="6" w:name="_GoBack"/>
      <w:bookmarkEnd w:id="6"/>
      <w:r>
        <w:rPr>
          <w:rFonts w:hint="eastAsia"/>
        </w:rPr>
        <w:t>具有充分的竞争关系,本次招标项目不接受联合体投标。</w:t>
      </w:r>
    </w:p>
    <w:p w14:paraId="373D030C">
      <w:pPr>
        <w:pStyle w:val="11"/>
        <w:spacing w:line="360" w:lineRule="auto"/>
        <w:rPr>
          <w:b/>
        </w:rPr>
      </w:pPr>
      <w:r>
        <w:rPr>
          <w:rFonts w:hint="eastAsia"/>
          <w:b/>
        </w:rPr>
        <w:t>2.投标文件格式组成</w:t>
      </w:r>
    </w:p>
    <w:p w14:paraId="40679C9D">
      <w:pPr>
        <w:pStyle w:val="11"/>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2.1投标函</w:t>
      </w:r>
      <w:r>
        <w:rPr>
          <w:rFonts w:hint="eastAsia"/>
          <w:b/>
          <w:color w:val="auto"/>
          <w:lang w:val="en-US" w:eastAsia="zh-CN"/>
        </w:rPr>
        <w:t>表</w:t>
      </w:r>
      <w:r>
        <w:rPr>
          <w:rFonts w:hint="eastAsia"/>
          <w:b/>
          <w:color w:val="auto"/>
          <w:highlight w:val="none"/>
          <w:lang w:val="en-US" w:eastAsia="zh-CN"/>
        </w:rPr>
        <w:t>（</w:t>
      </w:r>
      <w:r>
        <w:rPr>
          <w:rFonts w:hint="eastAsia"/>
          <w:b/>
          <w:color w:val="auto"/>
          <w:lang w:val="en-US" w:eastAsia="zh-CN"/>
        </w:rPr>
        <w:t>附件一</w:t>
      </w:r>
      <w:r>
        <w:rPr>
          <w:rFonts w:hint="eastAsia"/>
          <w:b/>
          <w:color w:val="auto"/>
          <w:highlight w:val="none"/>
          <w:lang w:val="en-US" w:eastAsia="zh-CN"/>
        </w:rPr>
        <w:t>）</w:t>
      </w:r>
    </w:p>
    <w:p w14:paraId="6DDCEF41">
      <w:pPr>
        <w:pStyle w:val="11"/>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投标函应在答疑时间前发送至指定邮箱中。</w:t>
      </w:r>
    </w:p>
    <w:p w14:paraId="50DA7F67">
      <w:pPr>
        <w:pStyle w:val="11"/>
        <w:spacing w:line="360" w:lineRule="auto"/>
        <w:ind w:firstLine="422" w:firstLineChars="200"/>
        <w:rPr>
          <w:rFonts w:hint="eastAsia"/>
          <w:b/>
          <w:color w:val="auto"/>
          <w:highlight w:val="none"/>
          <w:lang w:val="en-US" w:eastAsia="zh-CN"/>
        </w:rPr>
      </w:pPr>
      <w:r>
        <w:rPr>
          <w:rFonts w:hint="eastAsia"/>
          <w:b/>
          <w:color w:val="auto"/>
          <w:lang w:val="en-US" w:eastAsia="zh-CN"/>
        </w:rPr>
        <w:t>2.2投标报价表</w:t>
      </w:r>
      <w:r>
        <w:rPr>
          <w:rFonts w:hint="eastAsia"/>
          <w:b/>
          <w:color w:val="auto"/>
          <w:highlight w:val="none"/>
          <w:lang w:val="en-US" w:eastAsia="zh-CN"/>
        </w:rPr>
        <w:t>（</w:t>
      </w:r>
      <w:r>
        <w:rPr>
          <w:rFonts w:hint="eastAsia"/>
          <w:b/>
          <w:color w:val="auto"/>
          <w:lang w:val="en-US" w:eastAsia="zh-CN"/>
        </w:rPr>
        <w:t>附件二</w:t>
      </w:r>
      <w:r>
        <w:rPr>
          <w:rFonts w:hint="eastAsia"/>
          <w:b/>
          <w:color w:val="auto"/>
          <w:highlight w:val="none"/>
          <w:lang w:val="en-US" w:eastAsia="zh-CN"/>
        </w:rPr>
        <w:t>）</w:t>
      </w:r>
    </w:p>
    <w:p w14:paraId="2075C98E">
      <w:pPr>
        <w:pStyle w:val="11"/>
        <w:spacing w:line="360" w:lineRule="auto"/>
        <w:ind w:firstLine="420" w:firstLineChars="200"/>
        <w:rPr>
          <w:rFonts w:hint="eastAsia"/>
          <w:b/>
          <w:color w:val="auto"/>
          <w:highlight w:val="none"/>
          <w:lang w:val="en-US" w:eastAsia="zh-CN"/>
        </w:rPr>
      </w:pPr>
      <w:r>
        <w:rPr>
          <w:rFonts w:hint="eastAsia" w:ascii="宋体" w:hAnsi="Courier New" w:eastAsia="宋体" w:cs="Times New Roman"/>
          <w:b w:val="0"/>
          <w:bCs/>
          <w:color w:val="auto"/>
          <w:kern w:val="2"/>
          <w:sz w:val="21"/>
          <w:szCs w:val="22"/>
          <w:highlight w:val="none"/>
          <w:lang w:val="en-US" w:eastAsia="zh-CN" w:bidi="ar-SA"/>
        </w:rPr>
        <w:t>本表详见附件：</w:t>
      </w:r>
      <w:r>
        <w:rPr>
          <w:rFonts w:hint="eastAsia" w:cs="Times New Roman"/>
          <w:b w:val="0"/>
          <w:bCs/>
          <w:color w:val="auto"/>
          <w:kern w:val="2"/>
          <w:sz w:val="21"/>
          <w:szCs w:val="22"/>
          <w:highlight w:val="none"/>
          <w:lang w:val="en-US" w:eastAsia="zh-CN" w:bidi="ar-SA"/>
        </w:rPr>
        <w:t>泰安五岳公司危险废物处置</w:t>
      </w:r>
      <w:r>
        <w:rPr>
          <w:rFonts w:hint="eastAsia" w:ascii="宋体" w:hAnsi="Courier New" w:eastAsia="宋体" w:cs="Times New Roman"/>
          <w:b w:val="0"/>
          <w:bCs/>
          <w:color w:val="auto"/>
          <w:kern w:val="2"/>
          <w:sz w:val="21"/>
          <w:szCs w:val="22"/>
          <w:highlight w:val="none"/>
          <w:lang w:val="en-US" w:eastAsia="zh-CN" w:bidi="ar-SA"/>
        </w:rPr>
        <w:t>项目投标价格表</w:t>
      </w:r>
      <w:r>
        <w:rPr>
          <w:rFonts w:hint="eastAsia" w:cs="Times New Roman"/>
          <w:b/>
          <w:bCs w:val="0"/>
          <w:color w:val="auto"/>
          <w:kern w:val="2"/>
          <w:sz w:val="21"/>
          <w:szCs w:val="22"/>
          <w:highlight w:val="none"/>
          <w:lang w:val="en-US" w:eastAsia="zh-CN" w:bidi="ar-SA"/>
        </w:rPr>
        <w:t>（扫描件</w:t>
      </w:r>
      <w:r>
        <w:rPr>
          <w:rFonts w:hint="eastAsia"/>
          <w:b/>
          <w:color w:val="auto"/>
          <w:highlight w:val="none"/>
          <w:lang w:val="en-US" w:eastAsia="zh-CN"/>
        </w:rPr>
        <w:t>应在答疑时间前发送至指定邮箱中，纸质版邮寄至公司内存档备案，地址：泰安市高新区中天门大街266号，中国重汽集团泰安五岳专用汽车有限公司，收件人：亓祥斌，电话：18888306679）</w:t>
      </w:r>
      <w:r>
        <w:rPr>
          <w:rFonts w:hint="eastAsia" w:cs="Times New Roman"/>
          <w:b/>
          <w:bCs w:val="0"/>
          <w:color w:val="auto"/>
          <w:kern w:val="2"/>
          <w:sz w:val="21"/>
          <w:szCs w:val="22"/>
          <w:highlight w:val="none"/>
          <w:lang w:val="en-US" w:eastAsia="zh-CN" w:bidi="ar-SA"/>
        </w:rPr>
        <w:t>。</w:t>
      </w:r>
    </w:p>
    <w:p w14:paraId="76DA2077">
      <w:pPr>
        <w:pStyle w:val="11"/>
        <w:spacing w:line="360" w:lineRule="auto"/>
        <w:ind w:firstLine="422" w:firstLineChars="200"/>
        <w:rPr>
          <w:rFonts w:hint="eastAsia"/>
          <w:b/>
          <w:color w:val="auto"/>
          <w:lang w:val="en-US" w:eastAsia="zh-CN"/>
        </w:rPr>
      </w:pPr>
      <w:r>
        <w:rPr>
          <w:rFonts w:hint="eastAsia"/>
          <w:b/>
          <w:color w:val="auto"/>
          <w:lang w:val="en-US" w:eastAsia="zh-CN"/>
        </w:rPr>
        <w:t>2.3投标文件响应格式（</w:t>
      </w:r>
      <w:r>
        <w:rPr>
          <w:rFonts w:hint="eastAsia"/>
          <w:b/>
          <w:color w:val="auto"/>
          <w:highlight w:val="none"/>
          <w:lang w:val="en-US" w:eastAsia="zh-CN"/>
        </w:rPr>
        <w:t>附件三）</w:t>
      </w:r>
    </w:p>
    <w:p w14:paraId="188CF19C">
      <w:pPr>
        <w:pStyle w:val="11"/>
        <w:spacing w:line="360" w:lineRule="auto"/>
        <w:ind w:firstLine="420" w:firstLineChars="200"/>
        <w:rPr>
          <w:rFonts w:hint="eastAsia"/>
          <w:b w:val="0"/>
          <w:bCs/>
          <w:color w:val="auto"/>
          <w:lang w:val="en-US" w:eastAsia="zh-CN"/>
        </w:rPr>
      </w:pPr>
      <w:r>
        <w:rPr>
          <w:rFonts w:hint="eastAsia"/>
          <w:b w:val="0"/>
          <w:bCs/>
          <w:color w:val="auto"/>
          <w:lang w:val="en-US" w:eastAsia="zh-CN"/>
        </w:rPr>
        <w:t>投标人按照附件响应格式编制投标文件，在响应格式的基础上可以自行增加内容。</w:t>
      </w:r>
    </w:p>
    <w:p w14:paraId="363FF8FC">
      <w:pPr>
        <w:pStyle w:val="11"/>
        <w:numPr>
          <w:ilvl w:val="255"/>
          <w:numId w:val="0"/>
        </w:numPr>
        <w:spacing w:line="360" w:lineRule="auto"/>
        <w:rPr>
          <w:b/>
        </w:rPr>
      </w:pPr>
      <w:r>
        <w:rPr>
          <w:rFonts w:hint="eastAsia"/>
          <w:b/>
        </w:rPr>
        <w:t xml:space="preserve">3、报价： </w:t>
      </w:r>
    </w:p>
    <w:p w14:paraId="293B3757">
      <w:pPr>
        <w:pStyle w:val="11"/>
        <w:numPr>
          <w:ilvl w:val="255"/>
          <w:numId w:val="0"/>
        </w:numPr>
        <w:spacing w:line="360" w:lineRule="auto"/>
        <w:ind w:firstLine="422" w:firstLineChars="200"/>
        <w:rPr>
          <w:rFonts w:hint="eastAsia" w:eastAsia="宋体"/>
          <w:b/>
          <w:bCs/>
          <w:color w:val="FF0000"/>
          <w:lang w:eastAsia="zh-CN"/>
        </w:rPr>
      </w:pPr>
      <w:r>
        <w:rPr>
          <w:rFonts w:hint="eastAsia"/>
          <w:b/>
          <w:bCs/>
        </w:rPr>
        <w:t>1.</w:t>
      </w:r>
      <w:r>
        <w:rPr>
          <w:rFonts w:hint="eastAsia"/>
          <w:b/>
          <w:bCs/>
          <w:lang w:eastAsia="zh-CN"/>
        </w:rPr>
        <w:t>本次招标</w:t>
      </w:r>
      <w:r>
        <w:rPr>
          <w:rFonts w:hint="eastAsia"/>
          <w:b/>
          <w:bCs/>
          <w:highlight w:val="none"/>
          <w:lang w:eastAsia="zh-CN"/>
        </w:rPr>
        <w:t>为</w:t>
      </w:r>
      <w:r>
        <w:rPr>
          <w:rFonts w:hint="eastAsia"/>
          <w:b/>
          <w:bCs/>
          <w:lang w:eastAsia="zh-CN"/>
        </w:rPr>
        <w:t>公开招标</w:t>
      </w:r>
      <w:r>
        <w:rPr>
          <w:rFonts w:hint="eastAsia"/>
          <w:b/>
          <w:bCs/>
          <w:highlight w:val="none"/>
          <w:lang w:eastAsia="zh-CN"/>
        </w:rPr>
        <w:t>，</w:t>
      </w:r>
      <w:r>
        <w:rPr>
          <w:rFonts w:hint="eastAsia"/>
          <w:b/>
          <w:bCs/>
          <w:lang w:eastAsia="zh-CN"/>
        </w:rPr>
        <w:t>依据</w:t>
      </w:r>
      <w:r>
        <w:rPr>
          <w:rFonts w:hint="eastAsia" w:cs="Times New Roman"/>
          <w:b/>
          <w:bCs w:val="0"/>
          <w:color w:val="auto"/>
          <w:kern w:val="2"/>
          <w:sz w:val="21"/>
          <w:szCs w:val="22"/>
          <w:highlight w:val="none"/>
          <w:lang w:val="en-US" w:eastAsia="zh-CN" w:bidi="ar-SA"/>
        </w:rPr>
        <w:t>泰安五岳公司危险废物处置</w:t>
      </w:r>
      <w:r>
        <w:rPr>
          <w:rFonts w:hint="eastAsia" w:ascii="宋体" w:hAnsi="Courier New" w:eastAsia="宋体" w:cs="Times New Roman"/>
          <w:b/>
          <w:bCs w:val="0"/>
          <w:color w:val="auto"/>
          <w:kern w:val="2"/>
          <w:sz w:val="21"/>
          <w:szCs w:val="22"/>
          <w:highlight w:val="none"/>
          <w:lang w:val="en-US" w:eastAsia="zh-CN" w:bidi="ar-SA"/>
        </w:rPr>
        <w:t>项目投标价格表</w:t>
      </w:r>
      <w:r>
        <w:rPr>
          <w:rFonts w:hint="eastAsia" w:ascii="宋体" w:eastAsia="宋体" w:cs="Times New Roman"/>
          <w:b/>
          <w:bCs w:val="0"/>
          <w:color w:val="auto"/>
          <w:kern w:val="2"/>
          <w:sz w:val="21"/>
          <w:szCs w:val="22"/>
          <w:highlight w:val="none"/>
          <w:lang w:val="en-US" w:eastAsia="zh-CN" w:bidi="ar-SA"/>
        </w:rPr>
        <w:t>格式</w:t>
      </w:r>
      <w:r>
        <w:rPr>
          <w:rFonts w:hint="eastAsia"/>
          <w:b/>
          <w:bCs/>
          <w:lang w:eastAsia="zh-CN"/>
        </w:rPr>
        <w:t>，进行报价。</w:t>
      </w:r>
    </w:p>
    <w:p w14:paraId="68316345">
      <w:pPr>
        <w:pStyle w:val="11"/>
        <w:numPr>
          <w:ilvl w:val="255"/>
          <w:numId w:val="0"/>
        </w:numPr>
        <w:spacing w:line="360" w:lineRule="auto"/>
        <w:ind w:left="420"/>
        <w:rPr>
          <w:b/>
          <w:bCs/>
          <w:highlight w:val="yellow"/>
        </w:rPr>
      </w:pPr>
      <w:r>
        <w:rPr>
          <w:rFonts w:hint="eastAsia"/>
          <w:b/>
          <w:bCs/>
        </w:rPr>
        <w:t>2.所有报价货币单位均为：元（人民币），</w:t>
      </w:r>
      <w:r>
        <w:rPr>
          <w:rFonts w:hint="eastAsia"/>
          <w:b/>
          <w:bCs/>
          <w:lang w:val="en-US" w:eastAsia="zh-CN"/>
        </w:rPr>
        <w:t>包括</w:t>
      </w:r>
      <w:r>
        <w:rPr>
          <w:rFonts w:hint="eastAsia"/>
          <w:b/>
          <w:bCs/>
        </w:rPr>
        <w:t>含税</w:t>
      </w:r>
      <w:r>
        <w:rPr>
          <w:rFonts w:hint="eastAsia"/>
          <w:b/>
          <w:bCs/>
          <w:lang w:val="en-US" w:eastAsia="zh-CN"/>
        </w:rPr>
        <w:t>价、未税价及税率</w:t>
      </w:r>
      <w:r>
        <w:rPr>
          <w:rFonts w:hint="eastAsia"/>
          <w:b/>
          <w:bCs/>
        </w:rPr>
        <w:t>；</w:t>
      </w:r>
    </w:p>
    <w:p w14:paraId="6A12A0F4">
      <w:pPr>
        <w:spacing w:line="360" w:lineRule="auto"/>
        <w:ind w:firstLine="422" w:firstLineChars="200"/>
        <w:jc w:val="left"/>
        <w:rPr>
          <w:rFonts w:hint="eastAsia" w:eastAsia="宋体"/>
          <w:b/>
          <w:bCs/>
          <w:highlight w:val="none"/>
          <w:lang w:eastAsia="zh-CN"/>
        </w:rPr>
      </w:pPr>
      <w:r>
        <w:rPr>
          <w:rFonts w:hint="eastAsia"/>
          <w:b/>
          <w:bCs/>
          <w:highlight w:val="none"/>
        </w:rPr>
        <w:t>3.结算方式：</w:t>
      </w:r>
      <w:r>
        <w:rPr>
          <w:rFonts w:hint="eastAsia"/>
          <w:b/>
          <w:bCs/>
          <w:highlight w:val="none"/>
          <w:lang w:eastAsia="zh-CN"/>
        </w:rPr>
        <w:t>电汇</w:t>
      </w:r>
    </w:p>
    <w:p w14:paraId="0A8D6A95">
      <w:pPr>
        <w:spacing w:line="360" w:lineRule="auto"/>
        <w:ind w:firstLine="420" w:firstLineChars="200"/>
        <w:jc w:val="left"/>
        <w:rPr>
          <w:rFonts w:hint="eastAsia" w:ascii="Times New Roman" w:hAnsi="Times New Roman" w:eastAsia="宋体" w:cs="Times New Roman"/>
          <w:b w:val="0"/>
          <w:bCs w:val="0"/>
          <w:highlight w:val="none"/>
          <w:lang w:eastAsia="zh-CN"/>
        </w:rPr>
      </w:pPr>
      <w:r>
        <w:rPr>
          <w:rFonts w:hint="eastAsia" w:cs="Times New Roman"/>
          <w:b w:val="0"/>
          <w:bCs w:val="0"/>
          <w:lang w:val="en-US" w:eastAsia="zh-CN"/>
        </w:rPr>
        <w:t>每次处置完危险废物后，转移联单盖完章，甲乙双方确认无误后，乙方开具该处置批次危险废物增值税专用发票，</w:t>
      </w:r>
      <w:r>
        <w:rPr>
          <w:rFonts w:hint="eastAsia" w:cs="Times New Roman"/>
          <w:b w:val="0"/>
          <w:bCs w:val="0"/>
          <w:highlight w:val="none"/>
          <w:lang w:val="en-US" w:eastAsia="zh-CN"/>
        </w:rPr>
        <w:t>甲方</w:t>
      </w:r>
      <w:r>
        <w:rPr>
          <w:rFonts w:hint="eastAsia" w:cs="Times New Roman"/>
          <w:b w:val="0"/>
          <w:bCs w:val="0"/>
          <w:highlight w:val="none"/>
          <w:lang w:eastAsia="zh-CN"/>
        </w:rPr>
        <w:t>依照公司财务制度审核无误挂账后次月支付。</w:t>
      </w:r>
    </w:p>
    <w:p w14:paraId="29AE7B42">
      <w:pPr>
        <w:pStyle w:val="11"/>
        <w:numPr>
          <w:ilvl w:val="255"/>
          <w:numId w:val="0"/>
        </w:numPr>
        <w:spacing w:line="360" w:lineRule="auto"/>
        <w:rPr>
          <w:b/>
        </w:rPr>
      </w:pPr>
      <w:r>
        <w:rPr>
          <w:rFonts w:hint="eastAsia"/>
          <w:b/>
          <w:lang w:val="en-US" w:eastAsia="zh-CN"/>
        </w:rPr>
        <w:t>4</w:t>
      </w:r>
      <w:r>
        <w:rPr>
          <w:rFonts w:hint="eastAsia"/>
          <w:b/>
        </w:rPr>
        <w:t>、其他</w:t>
      </w:r>
    </w:p>
    <w:p w14:paraId="0EEFAAE1">
      <w:pPr>
        <w:pStyle w:val="11"/>
        <w:spacing w:line="360" w:lineRule="auto"/>
        <w:ind w:firstLine="420" w:firstLineChars="200"/>
      </w:pPr>
      <w:r>
        <w:rPr>
          <w:rFonts w:hint="eastAsia"/>
        </w:rPr>
        <w:t>投标人须认可招标人由于招标人上级集团公司政策变化引起的随时终止合同的要求。</w:t>
      </w:r>
    </w:p>
    <w:p w14:paraId="046176E4">
      <w:pPr>
        <w:pStyle w:val="11"/>
        <w:numPr>
          <w:ilvl w:val="255"/>
          <w:numId w:val="0"/>
        </w:numPr>
        <w:spacing w:line="360" w:lineRule="auto"/>
        <w:rPr>
          <w:rFonts w:ascii="黑体" w:eastAsia="黑体"/>
          <w:b/>
          <w:bCs/>
          <w:sz w:val="28"/>
        </w:rPr>
      </w:pPr>
      <w:r>
        <w:rPr>
          <w:rFonts w:hint="eastAsia" w:ascii="黑体" w:eastAsia="黑体"/>
          <w:b/>
          <w:bCs/>
          <w:sz w:val="28"/>
        </w:rPr>
        <w:t>七、开标、评标</w:t>
      </w:r>
    </w:p>
    <w:p w14:paraId="68C87F18">
      <w:pPr>
        <w:pStyle w:val="11"/>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43EADCCC">
      <w:pPr>
        <w:pStyle w:val="11"/>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共同开标，投标方进行报价，并由组织方进行报价汇总，确定最低价格及中标方。</w:t>
      </w:r>
    </w:p>
    <w:p w14:paraId="023887BC">
      <w:pPr>
        <w:pStyle w:val="11"/>
        <w:spacing w:line="360" w:lineRule="auto"/>
        <w:ind w:firstLine="420" w:firstLineChars="200"/>
        <w:rPr>
          <w:rFonts w:hint="default" w:eastAsia="宋体"/>
          <w:lang w:val="en-US" w:eastAsia="zh-CN"/>
        </w:rPr>
      </w:pPr>
      <w:r>
        <w:rPr>
          <w:rFonts w:hint="eastAsia"/>
        </w:rPr>
        <w:t>(</w:t>
      </w:r>
      <w:r>
        <w:rPr>
          <w:rFonts w:hint="eastAsia"/>
          <w:lang w:val="en-US" w:eastAsia="zh-CN"/>
        </w:rPr>
        <w:t>2</w:t>
      </w:r>
      <w:r>
        <w:rPr>
          <w:rFonts w:hint="eastAsia"/>
        </w:rPr>
        <w:t>)</w:t>
      </w:r>
      <w:r>
        <w:rPr>
          <w:rFonts w:hint="eastAsia"/>
          <w:b/>
        </w:rPr>
        <w:t>所有报价货币单位为：元（人民币,包括含税价、</w:t>
      </w:r>
      <w:r>
        <w:rPr>
          <w:rFonts w:hint="eastAsia"/>
          <w:b/>
          <w:lang w:val="en-US" w:eastAsia="zh-CN"/>
        </w:rPr>
        <w:t>未</w:t>
      </w:r>
      <w:r>
        <w:rPr>
          <w:rFonts w:hint="eastAsia"/>
          <w:b/>
        </w:rPr>
        <w:t>税价及税率）</w:t>
      </w:r>
      <w:r>
        <w:rPr>
          <w:rFonts w:hint="eastAsia"/>
        </w:rPr>
        <w:t>。</w:t>
      </w:r>
    </w:p>
    <w:p w14:paraId="12D3C7A3">
      <w:pPr>
        <w:pStyle w:val="11"/>
        <w:spacing w:line="360" w:lineRule="auto"/>
        <w:rPr>
          <w:rFonts w:ascii="黑体" w:eastAsia="黑体"/>
          <w:b/>
          <w:bCs/>
          <w:sz w:val="28"/>
        </w:rPr>
      </w:pPr>
      <w:r>
        <w:rPr>
          <w:rFonts w:hint="eastAsia" w:ascii="黑体" w:eastAsia="黑体"/>
          <w:b/>
          <w:bCs/>
          <w:sz w:val="28"/>
        </w:rPr>
        <w:t>八、合同签订</w:t>
      </w:r>
    </w:p>
    <w:p w14:paraId="7FE1EF85">
      <w:pPr>
        <w:pStyle w:val="11"/>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24EDD54D">
      <w:pPr>
        <w:pStyle w:val="11"/>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7978E45D">
      <w:pPr>
        <w:pStyle w:val="11"/>
        <w:spacing w:line="360" w:lineRule="auto"/>
        <w:ind w:firstLine="420" w:firstLineChars="200"/>
        <w:rPr>
          <w:szCs w:val="21"/>
        </w:rPr>
      </w:pPr>
      <w:r>
        <w:rPr>
          <w:rFonts w:hint="eastAsia"/>
          <w:szCs w:val="21"/>
        </w:rPr>
        <w:t>3.</w:t>
      </w:r>
      <w:r>
        <w:rPr>
          <w:rFonts w:hint="eastAsia" w:hAnsi="宋体"/>
          <w:szCs w:val="21"/>
        </w:rPr>
        <w:t>中标人应当按照合同约定的履约</w:t>
      </w:r>
      <w:r>
        <w:rPr>
          <w:rFonts w:hint="eastAsia" w:hAnsi="宋体"/>
          <w:szCs w:val="21"/>
          <w:lang w:val="en-US" w:eastAsia="zh-CN"/>
        </w:rPr>
        <w:t>责任</w:t>
      </w:r>
      <w:r>
        <w:rPr>
          <w:rFonts w:hint="eastAsia" w:hAnsi="宋体"/>
          <w:szCs w:val="21"/>
        </w:rPr>
        <w:t>。</w:t>
      </w:r>
    </w:p>
    <w:p w14:paraId="0D8B6F13">
      <w:pPr>
        <w:pStyle w:val="11"/>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06F08E9C">
      <w:pPr>
        <w:pStyle w:val="11"/>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7FCE296D">
      <w:pPr>
        <w:pStyle w:val="11"/>
        <w:spacing w:line="360" w:lineRule="auto"/>
        <w:ind w:firstLine="420" w:firstLineChars="200"/>
        <w:rPr>
          <w:szCs w:val="21"/>
        </w:rPr>
      </w:pPr>
      <w:r>
        <w:rPr>
          <w:rFonts w:hint="eastAsia"/>
          <w:lang w:val="en-US" w:eastAsia="zh-CN"/>
        </w:rPr>
        <w:t>6</w:t>
      </w:r>
      <w:r>
        <w:rPr>
          <w:rFonts w:hint="eastAsia"/>
        </w:rPr>
        <w:t>.中标人须认可招标人由于招标人上级集团公司政策变化引起的随时终止项目的要求。</w:t>
      </w:r>
    </w:p>
    <w:p w14:paraId="3D01EBAB">
      <w:pPr>
        <w:pStyle w:val="11"/>
        <w:spacing w:line="360" w:lineRule="auto"/>
        <w:rPr>
          <w:rFonts w:ascii="黑体" w:eastAsia="黑体"/>
          <w:b/>
          <w:bCs/>
          <w:sz w:val="28"/>
        </w:rPr>
      </w:pPr>
      <w:r>
        <w:rPr>
          <w:rFonts w:hint="eastAsia" w:ascii="黑体" w:eastAsia="黑体"/>
          <w:b/>
          <w:bCs/>
          <w:sz w:val="28"/>
        </w:rPr>
        <w:t>九、废标及终止招标</w:t>
      </w:r>
    </w:p>
    <w:p w14:paraId="61A6F18C">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2B1C99E">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3D12FDBB">
      <w:pPr>
        <w:spacing w:line="520" w:lineRule="exact"/>
        <w:ind w:right="2" w:firstLine="420" w:firstLineChars="200"/>
        <w:rPr>
          <w:rFonts w:ascii="宋体"/>
        </w:rPr>
      </w:pPr>
      <w:r>
        <w:rPr>
          <w:rFonts w:hint="eastAsia" w:ascii="宋体"/>
        </w:rPr>
        <w:t>⑵投标人在报价有效期内撤回投标；</w:t>
      </w:r>
    </w:p>
    <w:p w14:paraId="1D5577D5">
      <w:pPr>
        <w:spacing w:line="520" w:lineRule="exact"/>
        <w:ind w:right="2" w:firstLine="420" w:firstLineChars="200"/>
        <w:rPr>
          <w:rFonts w:ascii="宋体"/>
        </w:rPr>
      </w:pPr>
      <w:r>
        <w:rPr>
          <w:rFonts w:hint="eastAsia" w:ascii="宋体"/>
        </w:rPr>
        <w:t>⑶在整个评标过程中，投标人有企图影响评标结果公正性的任何活动；</w:t>
      </w:r>
    </w:p>
    <w:p w14:paraId="1362AE20">
      <w:pPr>
        <w:spacing w:line="520" w:lineRule="exact"/>
        <w:ind w:right="2" w:firstLine="420" w:firstLineChars="200"/>
        <w:rPr>
          <w:rFonts w:ascii="宋体"/>
        </w:rPr>
      </w:pPr>
      <w:r>
        <w:rPr>
          <w:rFonts w:hint="eastAsia" w:ascii="宋体"/>
        </w:rPr>
        <w:t>⑷投标人以任何方式诋毁其他投标人；</w:t>
      </w:r>
    </w:p>
    <w:p w14:paraId="3DAA3D24">
      <w:pPr>
        <w:spacing w:line="520" w:lineRule="exact"/>
        <w:ind w:right="2" w:firstLine="420" w:firstLineChars="200"/>
        <w:rPr>
          <w:rFonts w:ascii="宋体"/>
        </w:rPr>
      </w:pPr>
      <w:r>
        <w:rPr>
          <w:rFonts w:hint="eastAsia" w:ascii="宋体"/>
        </w:rPr>
        <w:t>⑸投标人串通投标；</w:t>
      </w:r>
    </w:p>
    <w:p w14:paraId="18084E19">
      <w:pPr>
        <w:spacing w:line="520" w:lineRule="exact"/>
        <w:ind w:right="2" w:firstLine="420" w:firstLineChars="200"/>
        <w:rPr>
          <w:rFonts w:ascii="宋体"/>
        </w:rPr>
      </w:pPr>
      <w:r>
        <w:rPr>
          <w:rFonts w:hint="eastAsia" w:ascii="宋体"/>
        </w:rPr>
        <w:t>⑹以他人名义投标或者以其他方式弄虚作假，骗取中标的；</w:t>
      </w:r>
    </w:p>
    <w:p w14:paraId="51818DEE">
      <w:pPr>
        <w:spacing w:line="520" w:lineRule="exact"/>
        <w:ind w:right="2" w:firstLine="420" w:firstLineChars="200"/>
        <w:rPr>
          <w:rFonts w:ascii="宋体"/>
        </w:rPr>
      </w:pPr>
      <w:r>
        <w:rPr>
          <w:rFonts w:hint="eastAsia" w:ascii="宋体"/>
        </w:rPr>
        <w:t>⑺中标人不按规定签订合同；</w:t>
      </w:r>
    </w:p>
    <w:p w14:paraId="0A080C80">
      <w:pPr>
        <w:spacing w:line="520" w:lineRule="exact"/>
        <w:ind w:right="2" w:firstLine="420" w:firstLineChars="200"/>
        <w:rPr>
          <w:rFonts w:ascii="宋体"/>
        </w:rPr>
      </w:pPr>
      <w:r>
        <w:rPr>
          <w:rFonts w:hint="eastAsia" w:ascii="宋体"/>
        </w:rPr>
        <w:t>⑻法律、法规规定的其他情况。</w:t>
      </w:r>
    </w:p>
    <w:p w14:paraId="18B3FC8A">
      <w:pPr>
        <w:spacing w:line="520" w:lineRule="exact"/>
        <w:ind w:right="2" w:firstLine="420" w:firstLineChars="200"/>
        <w:rPr>
          <w:rFonts w:ascii="宋体"/>
        </w:rPr>
      </w:pPr>
      <w:r>
        <w:rPr>
          <w:rFonts w:hint="eastAsia" w:ascii="宋体"/>
        </w:rPr>
        <w:t>2.出现下列情形之一，招标人有权否决所有投标人的投标，并终止招标。</w:t>
      </w:r>
    </w:p>
    <w:p w14:paraId="434BDEE8">
      <w:pPr>
        <w:spacing w:line="520" w:lineRule="exact"/>
        <w:ind w:right="2" w:firstLine="420" w:firstLineChars="200"/>
        <w:rPr>
          <w:rFonts w:ascii="宋体"/>
        </w:rPr>
      </w:pPr>
      <w:r>
        <w:rPr>
          <w:rFonts w:hint="eastAsia" w:ascii="宋体"/>
        </w:rPr>
        <w:t>⑴出现影响采购公正的违法、违规行为的。</w:t>
      </w:r>
    </w:p>
    <w:p w14:paraId="7D1FEC6C">
      <w:pPr>
        <w:spacing w:line="520" w:lineRule="exact"/>
        <w:ind w:right="2" w:firstLine="420" w:firstLineChars="200"/>
        <w:rPr>
          <w:rFonts w:ascii="宋体"/>
        </w:rPr>
      </w:pPr>
      <w:r>
        <w:rPr>
          <w:rFonts w:hint="eastAsia" w:ascii="宋体"/>
        </w:rPr>
        <w:t>⑵因重大变故，采购任务取消的。</w:t>
      </w:r>
    </w:p>
    <w:p w14:paraId="51DF3DE6">
      <w:pPr>
        <w:spacing w:line="520" w:lineRule="exact"/>
        <w:ind w:right="2" w:firstLine="420" w:firstLineChars="200"/>
        <w:rPr>
          <w:rFonts w:ascii="宋体"/>
        </w:rPr>
      </w:pPr>
      <w:r>
        <w:rPr>
          <w:rFonts w:hint="eastAsia" w:ascii="宋体"/>
        </w:rPr>
        <w:t>⑶招标人认为其他应终止招标的情形。</w:t>
      </w:r>
    </w:p>
    <w:p w14:paraId="0D44BE36">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7B214669">
      <w:pPr>
        <w:pStyle w:val="11"/>
        <w:spacing w:line="360" w:lineRule="auto"/>
        <w:rPr>
          <w:rFonts w:ascii="黑体" w:eastAsia="黑体"/>
          <w:b/>
          <w:bCs/>
          <w:sz w:val="28"/>
        </w:rPr>
      </w:pPr>
      <w:r>
        <w:rPr>
          <w:rFonts w:hint="eastAsia" w:ascii="黑体" w:eastAsia="黑体"/>
          <w:b/>
          <w:bCs/>
          <w:sz w:val="28"/>
        </w:rPr>
        <w:t>十、中标人瑕疵滞后发现的处理原则</w:t>
      </w:r>
    </w:p>
    <w:p w14:paraId="12CC3E19">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6F4B6672">
      <w:pPr>
        <w:pStyle w:val="11"/>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47A1750A">
      <w:pPr>
        <w:pStyle w:val="11"/>
        <w:numPr>
          <w:ilvl w:val="0"/>
          <w:numId w:val="3"/>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00468D8E">
      <w:pPr>
        <w:pStyle w:val="11"/>
        <w:numPr>
          <w:ilvl w:val="0"/>
          <w:numId w:val="3"/>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bookmarkStart w:id="3" w:name="_Toc37685731"/>
    </w:p>
    <w:p w14:paraId="493190E0">
      <w:pPr>
        <w:pStyle w:val="11"/>
        <w:widowControl w:val="0"/>
        <w:numPr>
          <w:ilvl w:val="0"/>
          <w:numId w:val="0"/>
        </w:numPr>
        <w:spacing w:line="360" w:lineRule="auto"/>
        <w:jc w:val="both"/>
        <w:rPr>
          <w:rFonts w:hint="eastAsia" w:hAnsi="Times New Roman"/>
        </w:rPr>
      </w:pPr>
    </w:p>
    <w:p w14:paraId="7D6D9E70">
      <w:pPr>
        <w:pStyle w:val="11"/>
        <w:widowControl w:val="0"/>
        <w:numPr>
          <w:ilvl w:val="0"/>
          <w:numId w:val="0"/>
        </w:numPr>
        <w:spacing w:line="360" w:lineRule="auto"/>
        <w:jc w:val="both"/>
        <w:rPr>
          <w:rFonts w:hint="eastAsia" w:hAnsi="Times New Roman"/>
        </w:rPr>
      </w:pPr>
    </w:p>
    <w:p w14:paraId="07261684">
      <w:pPr>
        <w:pStyle w:val="11"/>
        <w:widowControl w:val="0"/>
        <w:numPr>
          <w:ilvl w:val="0"/>
          <w:numId w:val="0"/>
        </w:numPr>
        <w:spacing w:line="360" w:lineRule="auto"/>
        <w:jc w:val="both"/>
        <w:rPr>
          <w:rFonts w:hint="eastAsia" w:hAnsi="Times New Roman"/>
        </w:rPr>
      </w:pPr>
    </w:p>
    <w:p w14:paraId="78DDFD0C">
      <w:pPr>
        <w:pStyle w:val="11"/>
        <w:widowControl w:val="0"/>
        <w:numPr>
          <w:ilvl w:val="0"/>
          <w:numId w:val="0"/>
        </w:numPr>
        <w:spacing w:line="360" w:lineRule="auto"/>
        <w:jc w:val="both"/>
        <w:rPr>
          <w:rFonts w:hint="eastAsia" w:hAnsi="Times New Roman"/>
        </w:rPr>
      </w:pPr>
    </w:p>
    <w:p w14:paraId="56954732">
      <w:pPr>
        <w:pStyle w:val="11"/>
        <w:widowControl w:val="0"/>
        <w:numPr>
          <w:ilvl w:val="0"/>
          <w:numId w:val="0"/>
        </w:numPr>
        <w:spacing w:line="360" w:lineRule="auto"/>
        <w:jc w:val="both"/>
        <w:rPr>
          <w:rFonts w:hint="eastAsia" w:hAnsi="Times New Roman"/>
        </w:rPr>
      </w:pPr>
    </w:p>
    <w:p w14:paraId="143C1410">
      <w:pPr>
        <w:pStyle w:val="11"/>
        <w:widowControl w:val="0"/>
        <w:numPr>
          <w:ilvl w:val="0"/>
          <w:numId w:val="0"/>
        </w:numPr>
        <w:spacing w:line="360" w:lineRule="auto"/>
        <w:jc w:val="both"/>
        <w:rPr>
          <w:rFonts w:hint="eastAsia" w:hAnsi="Times New Roman"/>
        </w:rPr>
      </w:pPr>
    </w:p>
    <w:p w14:paraId="239D69CE">
      <w:pPr>
        <w:pStyle w:val="11"/>
        <w:widowControl w:val="0"/>
        <w:numPr>
          <w:ilvl w:val="0"/>
          <w:numId w:val="0"/>
        </w:numPr>
        <w:spacing w:line="360" w:lineRule="auto"/>
        <w:jc w:val="both"/>
        <w:rPr>
          <w:rFonts w:hint="eastAsia" w:hAnsi="Times New Roman"/>
        </w:rPr>
      </w:pPr>
    </w:p>
    <w:p w14:paraId="706568CF">
      <w:pPr>
        <w:pStyle w:val="11"/>
        <w:widowControl w:val="0"/>
        <w:numPr>
          <w:ilvl w:val="0"/>
          <w:numId w:val="0"/>
        </w:numPr>
        <w:spacing w:line="360" w:lineRule="auto"/>
        <w:jc w:val="both"/>
        <w:rPr>
          <w:rFonts w:hint="eastAsia" w:hAnsi="Times New Roman"/>
        </w:rPr>
      </w:pPr>
    </w:p>
    <w:p w14:paraId="361DA032">
      <w:pPr>
        <w:pStyle w:val="11"/>
        <w:widowControl w:val="0"/>
        <w:numPr>
          <w:ilvl w:val="0"/>
          <w:numId w:val="0"/>
        </w:numPr>
        <w:spacing w:line="360" w:lineRule="auto"/>
        <w:jc w:val="both"/>
        <w:rPr>
          <w:rFonts w:hint="eastAsia" w:hAnsi="Times New Roman"/>
        </w:rPr>
      </w:pPr>
    </w:p>
    <w:p w14:paraId="734C755A">
      <w:pPr>
        <w:pStyle w:val="11"/>
        <w:widowControl w:val="0"/>
        <w:numPr>
          <w:ilvl w:val="0"/>
          <w:numId w:val="0"/>
        </w:numPr>
        <w:spacing w:line="360" w:lineRule="auto"/>
        <w:jc w:val="both"/>
        <w:rPr>
          <w:rFonts w:hint="eastAsia" w:hAnsi="Times New Roman"/>
        </w:rPr>
      </w:pPr>
    </w:p>
    <w:p w14:paraId="4C257D02">
      <w:pPr>
        <w:pStyle w:val="11"/>
        <w:widowControl w:val="0"/>
        <w:numPr>
          <w:ilvl w:val="0"/>
          <w:numId w:val="0"/>
        </w:numPr>
        <w:spacing w:line="360" w:lineRule="auto"/>
        <w:jc w:val="both"/>
        <w:rPr>
          <w:rFonts w:hint="eastAsia" w:hAnsi="Times New Roman"/>
        </w:rPr>
      </w:pPr>
    </w:p>
    <w:p w14:paraId="2E5098A8">
      <w:pPr>
        <w:pStyle w:val="11"/>
        <w:widowControl w:val="0"/>
        <w:numPr>
          <w:ilvl w:val="0"/>
          <w:numId w:val="0"/>
        </w:numPr>
        <w:spacing w:line="360" w:lineRule="auto"/>
        <w:jc w:val="both"/>
        <w:rPr>
          <w:rFonts w:hint="eastAsia" w:hAnsi="Times New Roman"/>
        </w:rPr>
      </w:pPr>
    </w:p>
    <w:bookmarkEnd w:id="3"/>
    <w:p w14:paraId="39D2DA23">
      <w:pPr>
        <w:pStyle w:val="11"/>
        <w:spacing w:line="360" w:lineRule="auto"/>
        <w:jc w:val="center"/>
        <w:rPr>
          <w:rFonts w:ascii="黑体" w:eastAsia="黑体"/>
          <w:b/>
          <w:bCs/>
          <w:color w:val="auto"/>
          <w:sz w:val="36"/>
          <w:szCs w:val="36"/>
        </w:rPr>
      </w:pPr>
      <w:r>
        <w:rPr>
          <w:rFonts w:hint="eastAsia" w:ascii="黑体" w:eastAsia="黑体"/>
          <w:b/>
          <w:bCs/>
          <w:color w:val="auto"/>
          <w:sz w:val="36"/>
          <w:szCs w:val="36"/>
        </w:rPr>
        <w:t>第</w:t>
      </w:r>
      <w:r>
        <w:rPr>
          <w:rFonts w:hint="eastAsia" w:ascii="黑体" w:eastAsia="黑体"/>
          <w:b/>
          <w:bCs/>
          <w:color w:val="auto"/>
          <w:sz w:val="36"/>
          <w:szCs w:val="36"/>
          <w:lang w:eastAsia="zh-CN"/>
        </w:rPr>
        <w:t>二</w:t>
      </w:r>
      <w:r>
        <w:rPr>
          <w:rFonts w:hint="eastAsia" w:ascii="黑体" w:eastAsia="黑体"/>
          <w:b/>
          <w:bCs/>
          <w:color w:val="auto"/>
          <w:sz w:val="36"/>
          <w:szCs w:val="36"/>
        </w:rPr>
        <w:t xml:space="preserve">章  </w:t>
      </w:r>
      <w:r>
        <w:rPr>
          <w:rFonts w:ascii="黑体" w:eastAsia="黑体"/>
          <w:b/>
          <w:bCs/>
          <w:color w:val="auto"/>
          <w:sz w:val="36"/>
          <w:szCs w:val="36"/>
        </w:rPr>
        <w:t>技术</w:t>
      </w:r>
      <w:r>
        <w:rPr>
          <w:rFonts w:hint="eastAsia" w:ascii="黑体" w:eastAsia="黑体"/>
          <w:b/>
          <w:bCs/>
          <w:color w:val="auto"/>
          <w:sz w:val="36"/>
          <w:szCs w:val="36"/>
        </w:rPr>
        <w:t>协议书</w:t>
      </w:r>
    </w:p>
    <w:p w14:paraId="7BE10771">
      <w:pPr>
        <w:pStyle w:val="11"/>
        <w:spacing w:line="360" w:lineRule="auto"/>
        <w:rPr>
          <w:rFonts w:hAnsi="宋体"/>
          <w:b/>
          <w:bCs/>
        </w:rPr>
      </w:pPr>
    </w:p>
    <w:p w14:paraId="256D21AD">
      <w:pPr>
        <w:pStyle w:val="11"/>
        <w:spacing w:line="360" w:lineRule="auto"/>
      </w:pPr>
      <w:r>
        <w:rPr>
          <w:rFonts w:hAnsi="宋体"/>
          <w:b/>
          <w:bCs/>
        </w:rPr>
        <w:t>一、项目名称</w:t>
      </w:r>
      <w:r>
        <w:rPr>
          <w:rFonts w:hAnsi="宋体"/>
        </w:rPr>
        <w:t>：</w:t>
      </w:r>
      <w:r>
        <w:rPr>
          <w:rFonts w:hint="eastAsia"/>
          <w:u w:val="single"/>
        </w:rPr>
        <w:t>中国重汽集团</w:t>
      </w:r>
      <w:r>
        <w:rPr>
          <w:rFonts w:hint="eastAsia"/>
          <w:u w:val="single"/>
          <w:lang w:val="en-US" w:eastAsia="zh-CN"/>
        </w:rPr>
        <w:t>泰安五岳专用汽车</w:t>
      </w:r>
      <w:r>
        <w:rPr>
          <w:rFonts w:hint="eastAsia"/>
          <w:u w:val="single"/>
        </w:rPr>
        <w:t>有限公司危险废物处置项目</w:t>
      </w:r>
    </w:p>
    <w:p w14:paraId="287CAC81">
      <w:pPr>
        <w:pStyle w:val="11"/>
        <w:spacing w:line="360" w:lineRule="auto"/>
        <w:rPr>
          <w:rFonts w:hAnsi="宋体"/>
          <w:b/>
          <w:bCs/>
        </w:rPr>
      </w:pPr>
      <w:r>
        <w:rPr>
          <w:rFonts w:hint="eastAsia" w:hAnsi="宋体"/>
          <w:b/>
          <w:bCs/>
        </w:rPr>
        <w:t>二</w:t>
      </w:r>
      <w:r>
        <w:rPr>
          <w:rFonts w:hAnsi="宋体"/>
          <w:b/>
          <w:bCs/>
        </w:rPr>
        <w:t>、</w:t>
      </w:r>
      <w:r>
        <w:rPr>
          <w:rFonts w:hint="eastAsia" w:hAnsi="宋体"/>
          <w:b/>
          <w:bCs/>
        </w:rPr>
        <w:t>技术要求：</w:t>
      </w:r>
    </w:p>
    <w:p w14:paraId="5B0484CC">
      <w:pPr>
        <w:pStyle w:val="11"/>
        <w:spacing w:line="360" w:lineRule="auto"/>
        <w:ind w:left="364" w:leftChars="-228" w:hanging="843" w:hangingChars="400"/>
        <w:rPr>
          <w:rFonts w:hint="eastAsia" w:hAnsi="宋体"/>
          <w:b/>
        </w:rPr>
      </w:pPr>
      <w:r>
        <w:rPr>
          <w:rFonts w:hAnsi="宋体"/>
          <w:b/>
        </w:rPr>
        <w:t xml:space="preserve">        </w:t>
      </w:r>
      <w:r>
        <w:rPr>
          <w:rFonts w:hint="eastAsia" w:hAnsi="宋体"/>
          <w:b/>
        </w:rPr>
        <w:t xml:space="preserve"> 1.资质要求</w:t>
      </w:r>
      <w:r>
        <w:rPr>
          <w:rFonts w:hAnsi="宋体"/>
          <w:b/>
        </w:rPr>
        <w:t>：</w:t>
      </w:r>
    </w:p>
    <w:p w14:paraId="0E673443">
      <w:pPr>
        <w:pStyle w:val="11"/>
        <w:spacing w:line="360" w:lineRule="auto"/>
        <w:ind w:firstLine="420" w:firstLineChars="200"/>
        <w:jc w:val="left"/>
        <w:rPr>
          <w:rFonts w:hint="eastAsia" w:hAnsi="宋体"/>
          <w:szCs w:val="21"/>
        </w:rPr>
      </w:pPr>
      <w:r>
        <w:rPr>
          <w:rFonts w:hint="eastAsia" w:hAnsi="宋体"/>
          <w:szCs w:val="21"/>
        </w:rPr>
        <w:t>中标方持有当地生态环境局(厅)核发的正式危险废物经营许可证，并严格按照危险废物经营许可证所批准的经营危险废物类别及规模范围进行危险废物</w:t>
      </w:r>
      <w:r>
        <w:rPr>
          <w:rFonts w:hint="eastAsia" w:hAnsi="宋体"/>
          <w:szCs w:val="21"/>
          <w:lang w:val="en-US" w:eastAsia="zh-CN"/>
        </w:rPr>
        <w:t>收集转移工作</w:t>
      </w:r>
      <w:r>
        <w:rPr>
          <w:rFonts w:hint="eastAsia" w:hAnsi="宋体"/>
          <w:szCs w:val="21"/>
        </w:rPr>
        <w:t>。</w:t>
      </w:r>
    </w:p>
    <w:p w14:paraId="585E4F0F">
      <w:pPr>
        <w:pStyle w:val="11"/>
        <w:spacing w:line="360" w:lineRule="auto"/>
        <w:ind w:firstLine="422" w:firstLineChars="200"/>
        <w:rPr>
          <w:rFonts w:hint="eastAsia" w:ascii="Calibri" w:hAnsi="Calibri"/>
          <w:b/>
          <w:szCs w:val="21"/>
        </w:rPr>
      </w:pPr>
      <w:r>
        <w:rPr>
          <w:rFonts w:hint="eastAsia" w:hAnsi="宋体"/>
          <w:b/>
        </w:rPr>
        <w:t>2.</w:t>
      </w:r>
      <w:r>
        <w:rPr>
          <w:rFonts w:hint="eastAsia" w:ascii="Calibri" w:hAnsi="Calibri"/>
          <w:b/>
          <w:szCs w:val="21"/>
        </w:rPr>
        <w:t>包装</w:t>
      </w:r>
      <w:r>
        <w:rPr>
          <w:rFonts w:ascii="Calibri" w:hAnsi="Calibri"/>
          <w:b/>
          <w:szCs w:val="21"/>
        </w:rPr>
        <w:t xml:space="preserve"> </w:t>
      </w:r>
    </w:p>
    <w:p w14:paraId="54C78213">
      <w:pPr>
        <w:autoSpaceDE w:val="0"/>
        <w:autoSpaceDN w:val="0"/>
        <w:adjustRightInd w:val="0"/>
        <w:spacing w:line="360" w:lineRule="auto"/>
        <w:ind w:firstLine="422" w:firstLineChars="200"/>
        <w:jc w:val="left"/>
        <w:rPr>
          <w:rFonts w:hint="eastAsia"/>
          <w:szCs w:val="21"/>
        </w:rPr>
      </w:pPr>
      <w:r>
        <w:rPr>
          <w:rFonts w:hint="eastAsia" w:hAnsi="宋体"/>
          <w:b/>
          <w:bCs/>
          <w:szCs w:val="21"/>
        </w:rPr>
        <w:t>中标方</w:t>
      </w:r>
      <w:r>
        <w:rPr>
          <w:rFonts w:hint="eastAsia"/>
          <w:b/>
          <w:bCs/>
          <w:szCs w:val="21"/>
        </w:rPr>
        <w:t>负责提供合理的危险废物暂存期间及便于运输的包装物（如吨袋），并承担相关费用</w:t>
      </w:r>
      <w:r>
        <w:rPr>
          <w:rFonts w:hint="eastAsia"/>
          <w:szCs w:val="21"/>
        </w:rPr>
        <w:t>。</w:t>
      </w:r>
    </w:p>
    <w:p w14:paraId="1E5923BD">
      <w:pPr>
        <w:autoSpaceDE w:val="0"/>
        <w:autoSpaceDN w:val="0"/>
        <w:adjustRightInd w:val="0"/>
        <w:spacing w:line="360" w:lineRule="auto"/>
        <w:ind w:firstLine="422" w:firstLineChars="200"/>
        <w:jc w:val="left"/>
        <w:rPr>
          <w:rFonts w:hint="eastAsia" w:ascii="Calibri" w:hAnsi="Calibri"/>
          <w:b/>
          <w:szCs w:val="21"/>
        </w:rPr>
      </w:pPr>
      <w:r>
        <w:rPr>
          <w:rFonts w:hint="eastAsia" w:ascii="Calibri" w:hAnsi="Calibri"/>
          <w:b/>
          <w:szCs w:val="21"/>
        </w:rPr>
        <w:t>3.装卸</w:t>
      </w:r>
    </w:p>
    <w:p w14:paraId="158E8C16">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中标</w:t>
      </w:r>
      <w:r>
        <w:rPr>
          <w:rFonts w:hint="eastAsia" w:hAnsi="宋体"/>
          <w:szCs w:val="21"/>
        </w:rPr>
        <w:t>方</w:t>
      </w:r>
      <w:r>
        <w:rPr>
          <w:rFonts w:hint="eastAsia" w:ascii="宋体" w:hAnsi="宋体"/>
          <w:szCs w:val="21"/>
        </w:rPr>
        <w:t>负责危险废物转移运输期间的装卸车活动（招标方负责提供</w:t>
      </w:r>
      <w:r>
        <w:rPr>
          <w:rFonts w:hint="eastAsia" w:hAnsi="宋体"/>
          <w:szCs w:val="21"/>
        </w:rPr>
        <w:t>叉车、行车等机械设备并配备叉车司机及行车操作人员</w:t>
      </w:r>
      <w:r>
        <w:rPr>
          <w:rFonts w:hint="eastAsia" w:ascii="宋体" w:hAnsi="宋体"/>
          <w:szCs w:val="21"/>
        </w:rPr>
        <w:t>）。</w:t>
      </w:r>
    </w:p>
    <w:p w14:paraId="643BD0E4">
      <w:pPr>
        <w:autoSpaceDE w:val="0"/>
        <w:autoSpaceDN w:val="0"/>
        <w:adjustRightInd w:val="0"/>
        <w:spacing w:line="360" w:lineRule="auto"/>
        <w:ind w:firstLine="422" w:firstLineChars="200"/>
        <w:jc w:val="left"/>
        <w:rPr>
          <w:rFonts w:hint="eastAsia" w:ascii="Calibri" w:hAnsi="Calibri"/>
          <w:b/>
          <w:szCs w:val="21"/>
        </w:rPr>
      </w:pPr>
      <w:r>
        <w:rPr>
          <w:rFonts w:hint="eastAsia" w:ascii="Calibri" w:hAnsi="Calibri"/>
          <w:b/>
          <w:szCs w:val="21"/>
        </w:rPr>
        <w:t>4.运输</w:t>
      </w:r>
    </w:p>
    <w:p w14:paraId="11D8D7FE">
      <w:pPr>
        <w:autoSpaceDE w:val="0"/>
        <w:autoSpaceDN w:val="0"/>
        <w:adjustRightInd w:val="0"/>
        <w:spacing w:line="360" w:lineRule="auto"/>
        <w:ind w:firstLine="210" w:firstLineChars="100"/>
        <w:jc w:val="left"/>
        <w:rPr>
          <w:rFonts w:hint="eastAsia"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中标方</w:t>
      </w:r>
      <w:r>
        <w:rPr>
          <w:rFonts w:hint="eastAsia" w:hAnsi="宋体"/>
          <w:szCs w:val="21"/>
        </w:rPr>
        <w:t>可自行运输或委托有危险废物道路运输资质的公司负责运输危险废物，运输车辆驶出招标方厂区的所发生的任何运输风险由</w:t>
      </w:r>
      <w:r>
        <w:rPr>
          <w:rFonts w:hint="eastAsia" w:ascii="宋体" w:hAnsi="宋体"/>
          <w:szCs w:val="21"/>
        </w:rPr>
        <w:t>中标</w:t>
      </w:r>
      <w:r>
        <w:rPr>
          <w:rFonts w:hint="eastAsia" w:hAnsi="宋体"/>
          <w:szCs w:val="21"/>
        </w:rPr>
        <w:t>方承担；</w:t>
      </w:r>
    </w:p>
    <w:p w14:paraId="644A0EF2">
      <w:pPr>
        <w:pStyle w:val="11"/>
        <w:spacing w:line="360" w:lineRule="auto"/>
        <w:ind w:firstLine="210" w:firstLineChars="100"/>
        <w:jc w:val="left"/>
        <w:rPr>
          <w:rFonts w:hint="eastAsia" w:hAnsi="宋体"/>
          <w:szCs w:val="21"/>
        </w:rPr>
      </w:pPr>
      <w:r>
        <w:rPr>
          <w:rFonts w:hint="eastAsia" w:hAnsi="宋体"/>
          <w:szCs w:val="21"/>
          <w:lang w:eastAsia="zh-CN"/>
        </w:rPr>
        <w:t>（</w:t>
      </w:r>
      <w:r>
        <w:rPr>
          <w:rFonts w:hint="eastAsia" w:hAnsi="宋体"/>
          <w:szCs w:val="21"/>
          <w:lang w:val="en-US" w:eastAsia="zh-CN"/>
        </w:rPr>
        <w:t>2</w:t>
      </w:r>
      <w:r>
        <w:rPr>
          <w:rFonts w:hint="eastAsia" w:hAnsi="宋体"/>
          <w:szCs w:val="21"/>
          <w:lang w:eastAsia="zh-CN"/>
        </w:rPr>
        <w:t>）</w:t>
      </w:r>
      <w:r>
        <w:rPr>
          <w:rFonts w:hint="eastAsia" w:hAnsi="宋体"/>
          <w:szCs w:val="21"/>
        </w:rPr>
        <w:t>危险废物运输过程中保证密封包装，捆扎结实，确保装车、运输过程中无泄露；</w:t>
      </w:r>
    </w:p>
    <w:p w14:paraId="2E6B1C39">
      <w:pPr>
        <w:pStyle w:val="11"/>
        <w:spacing w:line="360" w:lineRule="auto"/>
        <w:ind w:firstLine="210" w:firstLineChars="100"/>
        <w:jc w:val="left"/>
        <w:rPr>
          <w:rFonts w:hint="eastAsia" w:hAnsi="宋体"/>
          <w:szCs w:val="21"/>
        </w:rPr>
      </w:pPr>
      <w:r>
        <w:rPr>
          <w:rFonts w:hint="eastAsia" w:hAnsi="宋体"/>
          <w:szCs w:val="21"/>
          <w:lang w:eastAsia="zh-CN"/>
        </w:rPr>
        <w:t>（</w:t>
      </w:r>
      <w:r>
        <w:rPr>
          <w:rFonts w:hint="eastAsia" w:hAnsi="宋体"/>
          <w:szCs w:val="21"/>
          <w:lang w:val="en-US" w:eastAsia="zh-CN"/>
        </w:rPr>
        <w:t>3</w:t>
      </w:r>
      <w:r>
        <w:rPr>
          <w:rFonts w:hint="eastAsia" w:hAnsi="宋体"/>
          <w:szCs w:val="21"/>
          <w:lang w:eastAsia="zh-CN"/>
        </w:rPr>
        <w:t>）</w:t>
      </w:r>
      <w:r>
        <w:rPr>
          <w:rFonts w:hint="eastAsia" w:hAnsi="宋体"/>
          <w:szCs w:val="21"/>
        </w:rPr>
        <w:t>必须由持有危险货物运输车辆驾驶及押运资格证的人员负责运输。</w:t>
      </w:r>
    </w:p>
    <w:p w14:paraId="60BDEE4D">
      <w:pPr>
        <w:autoSpaceDE w:val="0"/>
        <w:autoSpaceDN w:val="0"/>
        <w:adjustRightInd w:val="0"/>
        <w:spacing w:line="360" w:lineRule="auto"/>
        <w:ind w:firstLine="422" w:firstLineChars="200"/>
        <w:jc w:val="left"/>
        <w:rPr>
          <w:rFonts w:hint="eastAsia" w:ascii="Calibri" w:hAnsi="Calibri"/>
          <w:b/>
          <w:szCs w:val="21"/>
        </w:rPr>
      </w:pPr>
      <w:r>
        <w:rPr>
          <w:rFonts w:hint="eastAsia" w:ascii="Calibri" w:hAnsi="Calibri"/>
          <w:b/>
          <w:szCs w:val="21"/>
        </w:rPr>
        <w:t>5.转移期限</w:t>
      </w:r>
    </w:p>
    <w:p w14:paraId="3600C19D">
      <w:pPr>
        <w:autoSpaceDE w:val="0"/>
        <w:autoSpaceDN w:val="0"/>
        <w:adjustRightInd w:val="0"/>
        <w:spacing w:line="360" w:lineRule="auto"/>
        <w:ind w:firstLine="420" w:firstLineChars="200"/>
        <w:jc w:val="left"/>
        <w:rPr>
          <w:rFonts w:hint="eastAsia" w:hAnsi="宋体"/>
          <w:szCs w:val="21"/>
        </w:rPr>
      </w:pPr>
      <w:r>
        <w:rPr>
          <w:rFonts w:hint="eastAsia" w:ascii="宋体" w:hAnsi="宋体"/>
          <w:szCs w:val="21"/>
        </w:rPr>
        <w:t>⑴</w:t>
      </w:r>
      <w:r>
        <w:rPr>
          <w:rFonts w:hint="eastAsia" w:ascii="宋体" w:hAnsi="宋体"/>
          <w:szCs w:val="21"/>
          <w:lang w:val="en-US" w:eastAsia="zh-CN"/>
        </w:rPr>
        <w:t>接到甲方通知后，</w:t>
      </w:r>
      <w:r>
        <w:rPr>
          <w:rFonts w:hint="eastAsia" w:ascii="宋体" w:hAnsi="宋体"/>
          <w:b/>
          <w:bCs/>
          <w:szCs w:val="21"/>
          <w:lang w:val="en-US" w:eastAsia="zh-CN"/>
        </w:rPr>
        <w:t>乙方需在2天之内</w:t>
      </w:r>
      <w:r>
        <w:rPr>
          <w:rFonts w:hint="eastAsia" w:hAnsi="宋体"/>
          <w:szCs w:val="21"/>
        </w:rPr>
        <w:t>到达</w:t>
      </w:r>
      <w:r>
        <w:rPr>
          <w:rFonts w:hint="eastAsia" w:hAnsi="宋体"/>
          <w:szCs w:val="21"/>
          <w:lang w:val="en-US" w:eastAsia="zh-CN"/>
        </w:rPr>
        <w:t>甲方</w:t>
      </w:r>
      <w:r>
        <w:rPr>
          <w:rFonts w:hint="eastAsia" w:hAnsi="宋体"/>
          <w:szCs w:val="21"/>
        </w:rPr>
        <w:t>单位进行转移运输。</w:t>
      </w:r>
    </w:p>
    <w:p w14:paraId="2BE58545">
      <w:pPr>
        <w:pStyle w:val="11"/>
        <w:spacing w:line="360" w:lineRule="auto"/>
        <w:ind w:firstLine="420" w:firstLineChars="200"/>
        <w:jc w:val="left"/>
        <w:rPr>
          <w:rFonts w:hint="eastAsia" w:hAnsi="宋体"/>
          <w:szCs w:val="21"/>
        </w:rPr>
      </w:pPr>
      <w:r>
        <w:rPr>
          <w:rFonts w:hint="eastAsia" w:hAnsi="宋体"/>
          <w:szCs w:val="21"/>
        </w:rPr>
        <w:t>⑵不得以产生量小、起运重量不够等任何理由拒绝、拖延转移处置合同约定范围内的各类危险废物。</w:t>
      </w:r>
    </w:p>
    <w:p w14:paraId="580067B6">
      <w:pPr>
        <w:pStyle w:val="11"/>
        <w:spacing w:line="360" w:lineRule="auto"/>
        <w:rPr>
          <w:rFonts w:hAnsi="宋体"/>
          <w:b/>
          <w:bCs/>
        </w:rPr>
      </w:pPr>
      <w:r>
        <w:rPr>
          <w:rFonts w:hint="eastAsia" w:hAnsi="宋体"/>
          <w:b/>
          <w:bCs/>
        </w:rPr>
        <w:t>三</w:t>
      </w:r>
      <w:r>
        <w:rPr>
          <w:rFonts w:hAnsi="宋体"/>
          <w:b/>
          <w:bCs/>
        </w:rPr>
        <w:t>、服务</w:t>
      </w:r>
    </w:p>
    <w:p w14:paraId="1A8F405F">
      <w:pPr>
        <w:pStyle w:val="11"/>
        <w:spacing w:line="360" w:lineRule="auto"/>
        <w:ind w:firstLine="420" w:firstLineChars="200"/>
        <w:rPr>
          <w:rFonts w:hint="eastAsia" w:hAnsi="宋体"/>
        </w:rPr>
      </w:pPr>
      <w:r>
        <w:rPr>
          <w:rFonts w:hint="eastAsia" w:hAnsi="宋体"/>
        </w:rPr>
        <w:t>1.</w:t>
      </w:r>
      <w:r>
        <w:rPr>
          <w:rFonts w:hint="eastAsia" w:hAnsi="宋体"/>
          <w:szCs w:val="21"/>
        </w:rPr>
        <w:t xml:space="preserve"> 危险废物包装、运输、装卸、检验、暂存、处置及相关服务等，最终以合同约定为准。</w:t>
      </w:r>
    </w:p>
    <w:p w14:paraId="5F02084A">
      <w:pPr>
        <w:pStyle w:val="11"/>
        <w:spacing w:line="360" w:lineRule="auto"/>
        <w:ind w:firstLine="420" w:firstLineChars="200"/>
        <w:rPr>
          <w:rFonts w:hint="eastAsia" w:hAnsi="宋体"/>
        </w:rPr>
      </w:pPr>
      <w:r>
        <w:rPr>
          <w:rFonts w:hint="eastAsia" w:hAnsi="宋体"/>
        </w:rPr>
        <w:t>2.服务响应：按需方或招标人的要求，如出现问题随时进行服务，直至需方或招标人满意为止。</w:t>
      </w:r>
    </w:p>
    <w:p w14:paraId="03619F2A">
      <w:pPr>
        <w:pStyle w:val="30"/>
        <w:rPr>
          <w:rFonts w:eastAsia="黑体"/>
          <w:b/>
          <w:bCs/>
          <w:color w:val="auto"/>
          <w:sz w:val="36"/>
          <w:szCs w:val="36"/>
          <w:shd w:val="clear" w:color="auto" w:fill="auto"/>
        </w:rPr>
      </w:pPr>
    </w:p>
    <w:p w14:paraId="3B85961F">
      <w:pPr>
        <w:pStyle w:val="30"/>
        <w:rPr>
          <w:rFonts w:eastAsia="黑体"/>
          <w:b/>
          <w:bCs/>
          <w:color w:val="auto"/>
          <w:sz w:val="36"/>
          <w:szCs w:val="36"/>
          <w:shd w:val="clear" w:color="auto" w:fill="auto"/>
        </w:rPr>
      </w:pPr>
    </w:p>
    <w:p w14:paraId="3BE4A532">
      <w:pPr>
        <w:pStyle w:val="30"/>
        <w:rPr>
          <w:rFonts w:eastAsia="黑体"/>
          <w:b/>
          <w:bCs/>
          <w:color w:val="auto"/>
          <w:sz w:val="36"/>
          <w:szCs w:val="36"/>
          <w:shd w:val="clear" w:color="auto" w:fill="auto"/>
        </w:rPr>
      </w:pPr>
    </w:p>
    <w:p w14:paraId="710D546D">
      <w:pPr>
        <w:pStyle w:val="30"/>
        <w:rPr>
          <w:rFonts w:hint="eastAsia"/>
        </w:rPr>
      </w:pPr>
    </w:p>
    <w:p w14:paraId="31F985BB">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2ADCCEA9">
      <w:pPr>
        <w:pStyle w:val="4"/>
        <w:spacing w:before="120" w:after="120" w:line="560" w:lineRule="exact"/>
        <w:rPr>
          <w:rFonts w:hint="eastAsia" w:ascii="宋体" w:hAnsi="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一、投标函（附营业执照电子版）</w:t>
      </w:r>
    </w:p>
    <w:p w14:paraId="04FE1802">
      <w:pPr>
        <w:jc w:val="center"/>
        <w:rPr>
          <w:rFonts w:ascii="宋体" w:hAnsi="宋体"/>
          <w:b/>
          <w:bCs/>
          <w:sz w:val="36"/>
          <w:szCs w:val="36"/>
        </w:rPr>
      </w:pPr>
      <w:r>
        <w:rPr>
          <w:rFonts w:hint="eastAsia" w:ascii="宋体" w:hAnsi="宋体"/>
          <w:b/>
          <w:bCs/>
          <w:sz w:val="36"/>
          <w:szCs w:val="36"/>
        </w:rPr>
        <w:t>投标函</w:t>
      </w:r>
    </w:p>
    <w:p w14:paraId="18573B41">
      <w:pPr>
        <w:pStyle w:val="12"/>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14:paraId="0ECFAE57">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bCs/>
          <w:sz w:val="24"/>
          <w:u w:val="single"/>
          <w:lang w:val="en-US" w:eastAsia="zh-CN"/>
        </w:rPr>
        <w:t>泰安五岳公司危险废物处置项目</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w:t>
      </w:r>
      <w:r>
        <w:rPr>
          <w:rFonts w:hint="eastAsia" w:ascii="宋体" w:hAnsi="宋体"/>
          <w:sz w:val="24"/>
          <w:lang w:eastAsia="zh-CN"/>
        </w:rPr>
        <w:t>，盖章</w:t>
      </w:r>
      <w:r>
        <w:rPr>
          <w:rFonts w:hint="eastAsia" w:ascii="宋体" w:hAnsi="宋体"/>
          <w:sz w:val="24"/>
        </w:rPr>
        <w:t>）正式委托全权代表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val="en-US" w:eastAsia="zh-CN"/>
        </w:rPr>
        <w:t>二</w:t>
      </w:r>
      <w:r>
        <w:rPr>
          <w:rFonts w:hint="eastAsia" w:ascii="宋体" w:hAnsi="宋体"/>
          <w:sz w:val="24"/>
        </w:rPr>
        <w:t>份，并保证所提供的全部资料的真实性、准确性。</w:t>
      </w:r>
    </w:p>
    <w:p w14:paraId="0E87FF49">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w:t>
      </w:r>
      <w:r>
        <w:rPr>
          <w:rFonts w:hint="eastAsia" w:ascii="宋体" w:hAnsi="宋体"/>
          <w:sz w:val="24"/>
          <w:lang w:val="en-US" w:eastAsia="zh-CN"/>
        </w:rPr>
        <w:t>服务</w:t>
      </w:r>
      <w:r>
        <w:rPr>
          <w:rFonts w:hint="eastAsia" w:ascii="宋体" w:hAnsi="宋体"/>
          <w:sz w:val="24"/>
        </w:rPr>
        <w:t>。</w:t>
      </w:r>
    </w:p>
    <w:p w14:paraId="083CBC76">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33E86015">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6E04047B">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（4）我方同意招标人的要求，提供与递交投标文件有关的其他数据和资料。</w:t>
      </w:r>
    </w:p>
    <w:p w14:paraId="20C4E451">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14:paraId="349BA266">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2AFAC61A">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w:t>
      </w:r>
      <w:r>
        <w:rPr>
          <w:rFonts w:hint="eastAsia" w:ascii="宋体" w:hAnsi="宋体"/>
          <w:sz w:val="24"/>
          <w:lang w:val="en-US" w:eastAsia="zh-CN"/>
        </w:rPr>
        <w:t>自愿</w:t>
      </w:r>
      <w:r>
        <w:rPr>
          <w:rFonts w:hint="eastAsia" w:ascii="宋体" w:hAnsi="宋体"/>
          <w:sz w:val="24"/>
        </w:rPr>
        <w:t>遵守贵机构有关招标的各项规定。</w:t>
      </w:r>
    </w:p>
    <w:p w14:paraId="112DBBD5">
      <w:pPr>
        <w:pStyle w:val="30"/>
        <w:rPr>
          <w:rFonts w:hint="eastAsia"/>
        </w:rPr>
      </w:pPr>
    </w:p>
    <w:p w14:paraId="1A0325BB">
      <w:pPr>
        <w:pStyle w:val="9"/>
        <w:spacing w:after="0" w:line="460" w:lineRule="exact"/>
        <w:ind w:left="-2" w:firstLine="480"/>
        <w:rPr>
          <w:rFonts w:hint="eastAsia" w:ascii="宋体" w:hAnsi="宋体"/>
          <w:sz w:val="24"/>
        </w:rPr>
      </w:pPr>
      <w:r>
        <w:rPr>
          <w:rFonts w:hint="eastAsia" w:ascii="宋体" w:hAnsi="宋体"/>
          <w:sz w:val="24"/>
        </w:rPr>
        <w:t>与</w:t>
      </w:r>
      <w:r>
        <w:rPr>
          <w:rFonts w:hint="eastAsia" w:ascii="宋体" w:hAnsi="宋体" w:eastAsia="宋体" w:cs="Times New Roman"/>
          <w:kern w:val="2"/>
          <w:sz w:val="24"/>
          <w:szCs w:val="22"/>
          <w:lang w:val="en-US" w:eastAsia="zh-CN" w:bidi="ar-SA"/>
        </w:rPr>
        <w:t>本报</w:t>
      </w:r>
      <w:r>
        <w:rPr>
          <w:rFonts w:hint="eastAsia" w:ascii="宋体" w:hAnsi="宋体"/>
          <w:sz w:val="24"/>
        </w:rPr>
        <w:t>价有关的所有往来信函，应按下列地址进行：</w:t>
      </w:r>
    </w:p>
    <w:p w14:paraId="53DCD385">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14:paraId="7B3DA2AE">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14:paraId="53675327">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14:paraId="68BFB2B3">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14:paraId="0C17AB25">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14:paraId="2054A41A">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14:paraId="5C5A46EB">
      <w:pPr>
        <w:pStyle w:val="9"/>
        <w:adjustRightInd w:val="0"/>
        <w:snapToGrid w:val="0"/>
        <w:spacing w:after="0"/>
        <w:ind w:left="571" w:leftChars="272" w:firstLine="480"/>
        <w:jc w:val="right"/>
        <w:rPr>
          <w:rFonts w:hint="eastAsia" w:ascii="宋体" w:hAnsi="宋体"/>
          <w:sz w:val="24"/>
        </w:rPr>
      </w:pPr>
    </w:p>
    <w:p w14:paraId="1A591C09">
      <w:pPr>
        <w:spacing w:line="360" w:lineRule="auto"/>
        <w:ind w:left="795" w:firstLine="6960" w:firstLineChars="2900"/>
        <w:rPr>
          <w:rFonts w:hint="eastAsia" w:ascii="黑体" w:hAnsi="黑体" w:eastAsia="黑体" w:cs="黑体"/>
          <w:b/>
          <w:bCs/>
          <w:kern w:val="2"/>
          <w:sz w:val="28"/>
          <w:szCs w:val="28"/>
          <w:lang w:val="en-US" w:eastAsia="zh-CN" w:bidi="ar-SA"/>
        </w:rPr>
      </w:pPr>
      <w:r>
        <w:rPr>
          <w:rFonts w:hint="eastAsia" w:ascii="宋体" w:hAnsi="宋体"/>
          <w:sz w:val="24"/>
        </w:rPr>
        <w:t>年  月  日</w:t>
      </w:r>
      <w:r>
        <w:rPr>
          <w:rFonts w:hint="eastAsia" w:ascii="宋体" w:hAnsi="宋体" w:eastAsia="宋体" w:cs="Times New Roman"/>
          <w:kern w:val="2"/>
          <w:sz w:val="24"/>
          <w:szCs w:val="22"/>
          <w:lang w:val="en-US" w:eastAsia="zh-CN" w:bidi="ar-SA"/>
        </w:rPr>
        <w:t xml:space="preserve"> </w:t>
      </w:r>
    </w:p>
    <w:p w14:paraId="37DF3BEC">
      <w:pPr>
        <w:pStyle w:val="4"/>
        <w:spacing w:before="120" w:after="120" w:line="560" w:lineRule="exact"/>
        <w:rPr>
          <w:rFonts w:hint="eastAsia" w:ascii="宋体" w:hAnsi="宋体" w:cs="宋体"/>
          <w:sz w:val="24"/>
          <w:szCs w:val="24"/>
        </w:rPr>
      </w:pPr>
      <w:bookmarkStart w:id="4" w:name="_Toc13718"/>
      <w:r>
        <w:rPr>
          <w:rFonts w:hint="eastAsia" w:ascii="宋体" w:hAnsi="宋体" w:cs="宋体"/>
          <w:sz w:val="24"/>
          <w:szCs w:val="24"/>
        </w:rPr>
        <w:t>附件</w:t>
      </w:r>
      <w:r>
        <w:rPr>
          <w:rFonts w:hint="eastAsia" w:ascii="宋体" w:hAnsi="宋体" w:cs="宋体"/>
          <w:sz w:val="24"/>
          <w:szCs w:val="24"/>
          <w:lang w:eastAsia="zh-CN"/>
        </w:rPr>
        <w:t>二、投标报价表</w:t>
      </w:r>
    </w:p>
    <w:bookmarkEnd w:id="4"/>
    <w:p w14:paraId="78BF4AA2">
      <w:pPr>
        <w:snapToGrid w:val="0"/>
        <w:jc w:val="center"/>
        <w:rPr>
          <w:rFonts w:hint="eastAsia" w:ascii="仿宋_GB2312" w:eastAsia="仿宋_GB2312"/>
          <w:color w:val="auto"/>
          <w:sz w:val="44"/>
          <w:szCs w:val="44"/>
        </w:rPr>
      </w:pPr>
      <w:r>
        <w:rPr>
          <w:rFonts w:hint="eastAsia" w:ascii="仿宋_GB2312" w:eastAsia="仿宋_GB2312"/>
          <w:color w:val="auto"/>
          <w:sz w:val="32"/>
          <w:szCs w:val="40"/>
        </w:rPr>
        <w:t>报价表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172"/>
        <w:gridCol w:w="2190"/>
        <w:gridCol w:w="2285"/>
        <w:gridCol w:w="1079"/>
      </w:tblGrid>
      <w:tr w14:paraId="0037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exact"/>
        </w:trPr>
        <w:tc>
          <w:tcPr>
            <w:tcW w:w="2040" w:type="dxa"/>
            <w:noWrap w:val="0"/>
            <w:vAlign w:val="center"/>
          </w:tcPr>
          <w:p w14:paraId="2622CB25">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项目编号</w:t>
            </w:r>
          </w:p>
        </w:tc>
        <w:tc>
          <w:tcPr>
            <w:tcW w:w="6726" w:type="dxa"/>
            <w:gridSpan w:val="4"/>
            <w:noWrap w:val="0"/>
            <w:vAlign w:val="center"/>
          </w:tcPr>
          <w:p w14:paraId="5D9EF808">
            <w:pPr>
              <w:snapToGrid w:val="0"/>
              <w:jc w:val="center"/>
              <w:rPr>
                <w:rFonts w:hint="eastAsia" w:ascii="仿宋_GB2312" w:eastAsia="仿宋_GB2312"/>
                <w:color w:val="auto"/>
                <w:sz w:val="28"/>
                <w:szCs w:val="28"/>
              </w:rPr>
            </w:pPr>
            <w:r>
              <w:rPr>
                <w:rFonts w:ascii="微软雅黑" w:hAnsi="微软雅黑" w:eastAsia="微软雅黑" w:cs="微软雅黑"/>
                <w:i w:val="0"/>
                <w:iCs w:val="0"/>
                <w:caps w:val="0"/>
                <w:color w:val="000000"/>
                <w:spacing w:val="0"/>
                <w:sz w:val="24"/>
                <w:szCs w:val="24"/>
                <w:shd w:val="clear" w:fill="FCFCFC"/>
              </w:rPr>
              <w:t>CGZXCX-202408-2933</w:t>
            </w:r>
          </w:p>
        </w:tc>
      </w:tr>
      <w:tr w14:paraId="34BC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7CAEA553">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项目名称</w:t>
            </w:r>
          </w:p>
        </w:tc>
        <w:tc>
          <w:tcPr>
            <w:tcW w:w="6726" w:type="dxa"/>
            <w:gridSpan w:val="4"/>
            <w:noWrap w:val="0"/>
            <w:vAlign w:val="center"/>
          </w:tcPr>
          <w:p w14:paraId="4BC42FA5">
            <w:pPr>
              <w:snapToGrid w:val="0"/>
              <w:jc w:val="center"/>
              <w:rPr>
                <w:rFonts w:hint="eastAsia" w:ascii="仿宋_GB2312" w:eastAsia="仿宋_GB2312"/>
                <w:color w:val="auto"/>
                <w:sz w:val="28"/>
                <w:szCs w:val="28"/>
              </w:rPr>
            </w:pPr>
            <w:r>
              <w:rPr>
                <w:rFonts w:hint="eastAsia" w:ascii="宋体" w:hAnsi="宋体"/>
                <w:b w:val="0"/>
                <w:bCs w:val="0"/>
                <w:sz w:val="24"/>
                <w:u w:val="none"/>
                <w:lang w:val="en-US" w:eastAsia="zh-CN"/>
              </w:rPr>
              <w:t>泰安五岳公司危险废物处置项目</w:t>
            </w:r>
          </w:p>
        </w:tc>
      </w:tr>
      <w:tr w14:paraId="4A79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40" w:type="dxa"/>
            <w:vMerge w:val="restart"/>
            <w:noWrap w:val="0"/>
            <w:vAlign w:val="center"/>
          </w:tcPr>
          <w:p w14:paraId="5D161BF8">
            <w:pPr>
              <w:snapToGrid w:val="0"/>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 xml:space="preserve">报价         </w:t>
            </w:r>
          </w:p>
        </w:tc>
        <w:tc>
          <w:tcPr>
            <w:tcW w:w="1172" w:type="dxa"/>
            <w:noWrap w:val="0"/>
            <w:vAlign w:val="center"/>
          </w:tcPr>
          <w:p w14:paraId="4C59DEB4">
            <w:pPr>
              <w:snapToGrid w:val="0"/>
              <w:jc w:val="center"/>
              <w:rPr>
                <w:rFonts w:hint="default"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种类</w:t>
            </w:r>
          </w:p>
        </w:tc>
        <w:tc>
          <w:tcPr>
            <w:tcW w:w="2190" w:type="dxa"/>
            <w:noWrap w:val="0"/>
            <w:vAlign w:val="center"/>
          </w:tcPr>
          <w:p w14:paraId="5EAC7BA9">
            <w:pPr>
              <w:snapToGrid w:val="0"/>
              <w:jc w:val="center"/>
              <w:rPr>
                <w:rFonts w:hint="eastAsia"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单价/吨（含税）</w:t>
            </w:r>
          </w:p>
        </w:tc>
        <w:tc>
          <w:tcPr>
            <w:tcW w:w="2285" w:type="dxa"/>
            <w:noWrap w:val="0"/>
            <w:vAlign w:val="center"/>
          </w:tcPr>
          <w:p w14:paraId="58F41EA3">
            <w:pPr>
              <w:snapToGrid w:val="0"/>
              <w:jc w:val="center"/>
              <w:rPr>
                <w:rFonts w:hint="eastAsia" w:ascii="仿宋_GB2312" w:eastAsia="仿宋_GB2312"/>
                <w:b w:val="0"/>
                <w:bCs w:val="0"/>
                <w:color w:val="auto"/>
                <w:sz w:val="28"/>
                <w:szCs w:val="28"/>
                <w:u w:val="none"/>
              </w:rPr>
            </w:pPr>
            <w:r>
              <w:rPr>
                <w:rFonts w:hint="eastAsia" w:ascii="仿宋_GB2312" w:eastAsia="仿宋_GB2312"/>
                <w:b w:val="0"/>
                <w:bCs w:val="0"/>
                <w:color w:val="auto"/>
                <w:sz w:val="28"/>
                <w:szCs w:val="28"/>
                <w:u w:val="none"/>
                <w:lang w:val="en-US" w:eastAsia="zh-CN"/>
              </w:rPr>
              <w:t>单价/吨（未税）</w:t>
            </w:r>
          </w:p>
        </w:tc>
        <w:tc>
          <w:tcPr>
            <w:tcW w:w="1079" w:type="dxa"/>
            <w:noWrap w:val="0"/>
            <w:vAlign w:val="center"/>
          </w:tcPr>
          <w:p w14:paraId="43519F44">
            <w:pPr>
              <w:snapToGrid w:val="0"/>
              <w:jc w:val="center"/>
              <w:rPr>
                <w:rFonts w:hint="eastAsia"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税率</w:t>
            </w:r>
          </w:p>
        </w:tc>
      </w:tr>
      <w:tr w14:paraId="394A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40" w:type="dxa"/>
            <w:vMerge w:val="continue"/>
            <w:noWrap w:val="0"/>
            <w:vAlign w:val="center"/>
          </w:tcPr>
          <w:p w14:paraId="60FAE837">
            <w:pPr>
              <w:snapToGrid w:val="0"/>
            </w:pPr>
          </w:p>
        </w:tc>
        <w:tc>
          <w:tcPr>
            <w:tcW w:w="1172" w:type="dxa"/>
            <w:noWrap w:val="0"/>
            <w:vAlign w:val="center"/>
          </w:tcPr>
          <w:p w14:paraId="2899FDDD">
            <w:pPr>
              <w:snapToGrid w:val="0"/>
              <w:jc w:val="center"/>
              <w:rPr>
                <w:rFonts w:hint="default"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HW12</w:t>
            </w:r>
          </w:p>
        </w:tc>
        <w:tc>
          <w:tcPr>
            <w:tcW w:w="2190" w:type="dxa"/>
            <w:noWrap w:val="0"/>
            <w:vAlign w:val="center"/>
          </w:tcPr>
          <w:p w14:paraId="2E9642BE">
            <w:pPr>
              <w:snapToGrid w:val="0"/>
              <w:jc w:val="center"/>
              <w:rPr>
                <w:b w:val="0"/>
                <w:bCs w:val="0"/>
                <w:u w:val="none"/>
              </w:rPr>
            </w:pPr>
          </w:p>
        </w:tc>
        <w:tc>
          <w:tcPr>
            <w:tcW w:w="2285" w:type="dxa"/>
            <w:noWrap w:val="0"/>
            <w:vAlign w:val="center"/>
          </w:tcPr>
          <w:p w14:paraId="37F44A34">
            <w:pPr>
              <w:snapToGrid w:val="0"/>
              <w:jc w:val="center"/>
              <w:rPr>
                <w:b w:val="0"/>
                <w:bCs w:val="0"/>
                <w:u w:val="none"/>
              </w:rPr>
            </w:pPr>
          </w:p>
        </w:tc>
        <w:tc>
          <w:tcPr>
            <w:tcW w:w="1079" w:type="dxa"/>
            <w:noWrap w:val="0"/>
            <w:vAlign w:val="center"/>
          </w:tcPr>
          <w:p w14:paraId="52B7BC16">
            <w:pPr>
              <w:snapToGrid w:val="0"/>
              <w:jc w:val="center"/>
              <w:rPr>
                <w:rFonts w:hint="eastAsia" w:ascii="仿宋_GB2312" w:eastAsia="仿宋_GB2312"/>
                <w:b w:val="0"/>
                <w:bCs w:val="0"/>
                <w:color w:val="auto"/>
                <w:sz w:val="28"/>
                <w:szCs w:val="28"/>
                <w:u w:val="none"/>
              </w:rPr>
            </w:pPr>
          </w:p>
        </w:tc>
      </w:tr>
      <w:tr w14:paraId="0833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40" w:type="dxa"/>
            <w:vMerge w:val="continue"/>
            <w:noWrap w:val="0"/>
            <w:vAlign w:val="center"/>
          </w:tcPr>
          <w:p w14:paraId="0614707B">
            <w:pPr>
              <w:snapToGrid w:val="0"/>
              <w:rPr>
                <w:rFonts w:hint="eastAsia" w:ascii="仿宋_GB2312" w:eastAsia="仿宋_GB2312"/>
                <w:color w:val="auto"/>
                <w:sz w:val="28"/>
                <w:szCs w:val="28"/>
                <w:u w:val="single"/>
              </w:rPr>
            </w:pPr>
          </w:p>
        </w:tc>
        <w:tc>
          <w:tcPr>
            <w:tcW w:w="1172" w:type="dxa"/>
            <w:noWrap w:val="0"/>
            <w:vAlign w:val="center"/>
          </w:tcPr>
          <w:p w14:paraId="71215969">
            <w:pPr>
              <w:snapToGrid w:val="0"/>
              <w:jc w:val="center"/>
              <w:rPr>
                <w:rFonts w:hint="default"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HW49</w:t>
            </w:r>
          </w:p>
        </w:tc>
        <w:tc>
          <w:tcPr>
            <w:tcW w:w="2190" w:type="dxa"/>
            <w:noWrap w:val="0"/>
            <w:vAlign w:val="center"/>
          </w:tcPr>
          <w:p w14:paraId="09682DC1">
            <w:pPr>
              <w:snapToGrid w:val="0"/>
              <w:jc w:val="center"/>
              <w:rPr>
                <w:rFonts w:hint="eastAsia" w:ascii="仿宋_GB2312" w:eastAsia="仿宋_GB2312"/>
                <w:b w:val="0"/>
                <w:bCs w:val="0"/>
                <w:color w:val="auto"/>
                <w:sz w:val="28"/>
                <w:szCs w:val="28"/>
                <w:u w:val="none"/>
              </w:rPr>
            </w:pPr>
          </w:p>
        </w:tc>
        <w:tc>
          <w:tcPr>
            <w:tcW w:w="2285" w:type="dxa"/>
            <w:noWrap w:val="0"/>
            <w:vAlign w:val="center"/>
          </w:tcPr>
          <w:p w14:paraId="059A6170">
            <w:pPr>
              <w:snapToGrid w:val="0"/>
              <w:jc w:val="center"/>
              <w:rPr>
                <w:rFonts w:hint="eastAsia" w:ascii="仿宋_GB2312" w:eastAsia="仿宋_GB2312"/>
                <w:b w:val="0"/>
                <w:bCs w:val="0"/>
                <w:color w:val="auto"/>
                <w:sz w:val="28"/>
                <w:szCs w:val="28"/>
                <w:u w:val="none"/>
              </w:rPr>
            </w:pPr>
          </w:p>
        </w:tc>
        <w:tc>
          <w:tcPr>
            <w:tcW w:w="1079" w:type="dxa"/>
            <w:noWrap w:val="0"/>
            <w:vAlign w:val="center"/>
          </w:tcPr>
          <w:p w14:paraId="71FC25FC">
            <w:pPr>
              <w:snapToGrid w:val="0"/>
              <w:jc w:val="center"/>
              <w:rPr>
                <w:rFonts w:hint="eastAsia" w:ascii="仿宋_GB2312" w:eastAsia="仿宋_GB2312"/>
                <w:b w:val="0"/>
                <w:bCs w:val="0"/>
                <w:color w:val="auto"/>
                <w:sz w:val="28"/>
                <w:szCs w:val="28"/>
                <w:u w:val="none"/>
              </w:rPr>
            </w:pPr>
          </w:p>
        </w:tc>
      </w:tr>
      <w:tr w14:paraId="0A72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2040" w:type="dxa"/>
            <w:noWrap w:val="0"/>
            <w:vAlign w:val="center"/>
          </w:tcPr>
          <w:p w14:paraId="0B2645F2">
            <w:pPr>
              <w:snapToGrid w:val="0"/>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付款方式</w:t>
            </w:r>
          </w:p>
        </w:tc>
        <w:tc>
          <w:tcPr>
            <w:tcW w:w="6726" w:type="dxa"/>
            <w:gridSpan w:val="4"/>
            <w:noWrap w:val="0"/>
            <w:vAlign w:val="center"/>
          </w:tcPr>
          <w:p w14:paraId="5BBE1684">
            <w:pPr>
              <w:snapToGrid w:val="0"/>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电汇</w:t>
            </w:r>
          </w:p>
        </w:tc>
      </w:tr>
      <w:tr w14:paraId="44EC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040" w:type="dxa"/>
            <w:noWrap w:val="0"/>
            <w:vAlign w:val="center"/>
          </w:tcPr>
          <w:p w14:paraId="147A1613">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服务期限</w:t>
            </w:r>
          </w:p>
        </w:tc>
        <w:tc>
          <w:tcPr>
            <w:tcW w:w="6726" w:type="dxa"/>
            <w:gridSpan w:val="4"/>
            <w:noWrap w:val="0"/>
            <w:vAlign w:val="center"/>
          </w:tcPr>
          <w:p w14:paraId="79945638">
            <w:pPr>
              <w:snapToGrid w:val="0"/>
              <w:jc w:val="center"/>
              <w:rPr>
                <w:rFonts w:hint="default" w:ascii="仿宋_GB2312" w:eastAsia="仿宋_GB2312"/>
                <w:color w:val="auto"/>
                <w:sz w:val="28"/>
                <w:szCs w:val="28"/>
                <w:lang w:val="en-US" w:eastAsia="zh-CN"/>
              </w:rPr>
            </w:pPr>
          </w:p>
        </w:tc>
      </w:tr>
      <w:tr w14:paraId="28D6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040" w:type="dxa"/>
            <w:noWrap w:val="0"/>
            <w:vAlign w:val="center"/>
          </w:tcPr>
          <w:p w14:paraId="1CB84B6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p w14:paraId="438A7ABE">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或其授权代表</w:t>
            </w:r>
          </w:p>
        </w:tc>
        <w:tc>
          <w:tcPr>
            <w:tcW w:w="6726" w:type="dxa"/>
            <w:gridSpan w:val="4"/>
            <w:noWrap w:val="0"/>
            <w:vAlign w:val="center"/>
          </w:tcPr>
          <w:p w14:paraId="19C31281">
            <w:pPr>
              <w:snapToGrid w:val="0"/>
              <w:jc w:val="center"/>
              <w:rPr>
                <w:rFonts w:hint="eastAsia" w:ascii="仿宋_GB2312" w:eastAsia="仿宋_GB2312"/>
                <w:b/>
                <w:color w:val="auto"/>
                <w:sz w:val="28"/>
                <w:szCs w:val="28"/>
              </w:rPr>
            </w:pPr>
          </w:p>
          <w:p w14:paraId="1A58E255">
            <w:pPr>
              <w:snapToGrid w:val="0"/>
              <w:jc w:val="center"/>
              <w:rPr>
                <w:rFonts w:hint="eastAsia" w:ascii="仿宋_GB2312" w:eastAsia="仿宋_GB2312"/>
                <w:b/>
                <w:color w:val="auto"/>
                <w:sz w:val="28"/>
                <w:szCs w:val="28"/>
              </w:rPr>
            </w:pPr>
          </w:p>
          <w:p w14:paraId="40A5F470">
            <w:pPr>
              <w:snapToGrid w:val="0"/>
              <w:jc w:val="center"/>
              <w:rPr>
                <w:rFonts w:hint="eastAsia" w:ascii="仿宋_GB2312" w:eastAsia="仿宋_GB2312"/>
                <w:b/>
                <w:color w:val="auto"/>
                <w:sz w:val="28"/>
                <w:szCs w:val="28"/>
              </w:rPr>
            </w:pP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（签名处）</w:t>
            </w:r>
          </w:p>
        </w:tc>
      </w:tr>
      <w:tr w14:paraId="4D12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40" w:type="dxa"/>
            <w:noWrap w:val="0"/>
            <w:vAlign w:val="center"/>
          </w:tcPr>
          <w:p w14:paraId="7B6F017C">
            <w:pPr>
              <w:snapToGrid w:val="0"/>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6726" w:type="dxa"/>
            <w:gridSpan w:val="4"/>
            <w:noWrap w:val="0"/>
            <w:vAlign w:val="center"/>
          </w:tcPr>
          <w:p w14:paraId="3D6D86F1">
            <w:pPr>
              <w:snapToGrid w:val="0"/>
              <w:jc w:val="center"/>
              <w:rPr>
                <w:rFonts w:hint="eastAsia" w:ascii="仿宋_GB2312" w:eastAsia="仿宋_GB2312"/>
                <w:color w:val="auto"/>
                <w:sz w:val="28"/>
                <w:szCs w:val="28"/>
              </w:rPr>
            </w:pPr>
          </w:p>
        </w:tc>
      </w:tr>
      <w:tr w14:paraId="31CD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040" w:type="dxa"/>
            <w:noWrap w:val="0"/>
            <w:vAlign w:val="center"/>
          </w:tcPr>
          <w:p w14:paraId="7CE9BE10">
            <w:pPr>
              <w:snapToGrid w:val="0"/>
              <w:jc w:val="center"/>
              <w:rPr>
                <w:rFonts w:hint="eastAsia" w:ascii="仿宋_GB2312" w:eastAsia="仿宋_GB2312"/>
                <w:color w:val="auto"/>
                <w:sz w:val="28"/>
                <w:szCs w:val="28"/>
              </w:rPr>
            </w:pPr>
            <w:r>
              <w:rPr>
                <w:rFonts w:hint="eastAsia" w:ascii="仿宋_GB2312" w:eastAsia="仿宋_GB2312"/>
                <w:color w:val="auto"/>
                <w:sz w:val="28"/>
                <w:szCs w:val="28"/>
              </w:rPr>
              <w:t>供应商名称</w:t>
            </w:r>
          </w:p>
        </w:tc>
        <w:tc>
          <w:tcPr>
            <w:tcW w:w="6726" w:type="dxa"/>
            <w:gridSpan w:val="4"/>
            <w:noWrap w:val="0"/>
            <w:vAlign w:val="center"/>
          </w:tcPr>
          <w:p w14:paraId="35F54441">
            <w:pPr>
              <w:snapToGrid w:val="0"/>
              <w:jc w:val="center"/>
              <w:rPr>
                <w:rFonts w:hint="eastAsia" w:ascii="仿宋_GB2312" w:eastAsia="仿宋_GB2312"/>
                <w:color w:val="auto"/>
                <w:sz w:val="28"/>
                <w:szCs w:val="28"/>
              </w:rPr>
            </w:pPr>
          </w:p>
        </w:tc>
      </w:tr>
      <w:tr w14:paraId="7B7D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6B9F9BC5">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报价日期</w:t>
            </w:r>
          </w:p>
        </w:tc>
        <w:tc>
          <w:tcPr>
            <w:tcW w:w="6726" w:type="dxa"/>
            <w:gridSpan w:val="4"/>
            <w:noWrap w:val="0"/>
            <w:vAlign w:val="center"/>
          </w:tcPr>
          <w:p w14:paraId="004BBD67">
            <w:pPr>
              <w:snapToGrid w:val="0"/>
              <w:jc w:val="center"/>
              <w:rPr>
                <w:rFonts w:hint="eastAsia" w:ascii="仿宋_GB2312" w:eastAsia="仿宋_GB2312"/>
                <w:color w:val="auto"/>
                <w:sz w:val="28"/>
                <w:szCs w:val="28"/>
              </w:rPr>
            </w:pPr>
            <w:r>
              <w:rPr>
                <w:rFonts w:hint="eastAsia" w:ascii="仿宋_GB2312" w:eastAsia="仿宋_GB2312"/>
                <w:color w:val="auto"/>
                <w:sz w:val="28"/>
                <w:szCs w:val="28"/>
              </w:rPr>
              <w:t>年   月   日</w:t>
            </w:r>
          </w:p>
        </w:tc>
      </w:tr>
    </w:tbl>
    <w:p w14:paraId="30DA9C37">
      <w:pPr>
        <w:pStyle w:val="30"/>
        <w:rPr>
          <w:rFonts w:hint="eastAsia" w:ascii="宋体" w:hAnsi="宋体" w:cs="宋体"/>
          <w:sz w:val="24"/>
          <w:szCs w:val="24"/>
        </w:rPr>
      </w:pPr>
    </w:p>
    <w:p w14:paraId="022E32CA">
      <w:pPr>
        <w:pStyle w:val="30"/>
        <w:rPr>
          <w:rFonts w:hint="eastAsia" w:ascii="宋体" w:hAnsi="宋体" w:cs="宋体"/>
          <w:sz w:val="24"/>
          <w:szCs w:val="24"/>
        </w:rPr>
      </w:pPr>
    </w:p>
    <w:p w14:paraId="375D9105">
      <w:pPr>
        <w:pStyle w:val="30"/>
        <w:rPr>
          <w:rFonts w:hint="eastAsia" w:ascii="宋体" w:hAnsi="宋体" w:cs="宋体"/>
          <w:sz w:val="24"/>
          <w:szCs w:val="24"/>
        </w:rPr>
      </w:pPr>
    </w:p>
    <w:p w14:paraId="3EBB6C2D">
      <w:pPr>
        <w:pStyle w:val="30"/>
        <w:rPr>
          <w:rFonts w:hint="eastAsia" w:ascii="宋体" w:hAnsi="宋体" w:cs="宋体"/>
          <w:sz w:val="24"/>
          <w:szCs w:val="24"/>
        </w:rPr>
      </w:pPr>
    </w:p>
    <w:p w14:paraId="7F363DA2">
      <w:pPr>
        <w:pStyle w:val="30"/>
        <w:rPr>
          <w:rFonts w:hint="eastAsia" w:ascii="宋体" w:hAnsi="宋体" w:cs="宋体"/>
          <w:sz w:val="24"/>
          <w:szCs w:val="24"/>
        </w:rPr>
      </w:pPr>
    </w:p>
    <w:p w14:paraId="08AEB20E">
      <w:pPr>
        <w:pStyle w:val="30"/>
        <w:rPr>
          <w:rFonts w:hint="eastAsia" w:ascii="宋体" w:hAnsi="宋体" w:cs="宋体"/>
          <w:sz w:val="24"/>
          <w:szCs w:val="24"/>
        </w:rPr>
      </w:pPr>
    </w:p>
    <w:p w14:paraId="7FA7F068">
      <w:pPr>
        <w:pStyle w:val="30"/>
        <w:rPr>
          <w:rFonts w:hint="eastAsia" w:ascii="宋体" w:hAnsi="宋体" w:cs="宋体"/>
          <w:sz w:val="24"/>
          <w:szCs w:val="24"/>
        </w:rPr>
      </w:pPr>
    </w:p>
    <w:p w14:paraId="44E86A10">
      <w:pPr>
        <w:pStyle w:val="30"/>
        <w:rPr>
          <w:rFonts w:hint="eastAsia" w:ascii="宋体" w:hAnsi="宋体" w:cs="宋体"/>
          <w:sz w:val="24"/>
          <w:szCs w:val="24"/>
        </w:rPr>
      </w:pPr>
    </w:p>
    <w:p w14:paraId="6DD57AA1">
      <w:pPr>
        <w:pStyle w:val="30"/>
        <w:rPr>
          <w:rFonts w:hint="eastAsia" w:ascii="宋体" w:hAnsi="宋体" w:cs="宋体"/>
          <w:sz w:val="24"/>
          <w:szCs w:val="24"/>
        </w:rPr>
      </w:pPr>
    </w:p>
    <w:p w14:paraId="2E26E679">
      <w:pPr>
        <w:pStyle w:val="3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附件三、响应文件格式</w:t>
      </w:r>
    </w:p>
    <w:p w14:paraId="5BCD7CBD">
      <w:pPr>
        <w:pStyle w:val="30"/>
        <w:rPr>
          <w:rFonts w:hint="eastAsia" w:ascii="宋体" w:hAnsi="宋体" w:eastAsia="宋体" w:cs="宋体"/>
          <w:b/>
          <w:bCs/>
          <w:color w:val="auto"/>
          <w:kern w:val="2"/>
          <w:sz w:val="24"/>
          <w:szCs w:val="24"/>
          <w:lang w:val="en-US" w:eastAsia="zh-CN" w:bidi="ar-SA"/>
        </w:rPr>
      </w:pPr>
    </w:p>
    <w:p w14:paraId="2CD6AA01">
      <w:pPr>
        <w:spacing w:line="360" w:lineRule="auto"/>
        <w:jc w:val="right"/>
        <w:rPr>
          <w:rFonts w:hint="eastAsia" w:ascii="仿宋_GB2312" w:hAnsi="Arial" w:eastAsia="仿宋_GB2312"/>
          <w:color w:val="auto"/>
          <w:sz w:val="28"/>
        </w:rPr>
      </w:pPr>
      <w:r>
        <w:rPr>
          <w:rFonts w:hint="eastAsia" w:ascii="仿宋_GB2312" w:hAnsi="Arial" w:eastAsia="仿宋_GB2312"/>
          <w:color w:val="auto"/>
          <w:sz w:val="28"/>
          <w:lang w:val="zh-CN"/>
        </w:rPr>
        <w:t>【正（副）本】</w:t>
      </w:r>
    </w:p>
    <w:p w14:paraId="6AB5D51C">
      <w:pPr>
        <w:autoSpaceDE w:val="0"/>
        <w:autoSpaceDN w:val="0"/>
        <w:jc w:val="center"/>
        <w:rPr>
          <w:rFonts w:hint="eastAsia" w:ascii="仿宋_GB2312" w:eastAsia="仿宋_GB2312"/>
          <w:color w:val="auto"/>
          <w:sz w:val="48"/>
          <w:szCs w:val="20"/>
          <w:u w:val="single"/>
          <w:lang w:val="zh-CN"/>
        </w:rPr>
      </w:pPr>
      <w:r>
        <w:rPr>
          <w:rFonts w:hint="eastAsia" w:ascii="仿宋_GB2312" w:hAnsi="Times New Roman" w:eastAsia="仿宋_GB2312" w:cs="Times New Roman"/>
          <w:color w:val="auto"/>
          <w:sz w:val="60"/>
          <w:u w:val="single"/>
          <w:lang w:val="zh-CN"/>
        </w:rPr>
        <w:t xml:space="preserve"> </w:t>
      </w:r>
      <w:r>
        <w:rPr>
          <w:rFonts w:hint="eastAsia" w:ascii="仿宋_GB2312" w:eastAsia="仿宋_GB2312" w:cs="Times New Roman"/>
          <w:color w:val="auto"/>
          <w:sz w:val="48"/>
          <w:szCs w:val="20"/>
          <w:u w:val="single"/>
          <w:lang w:val="en-US" w:eastAsia="zh-CN"/>
        </w:rPr>
        <w:t>泰安五岳公司危险废物处置</w:t>
      </w:r>
      <w:r>
        <w:rPr>
          <w:rFonts w:hint="eastAsia" w:ascii="仿宋_GB2312" w:eastAsia="仿宋_GB2312"/>
          <w:color w:val="auto"/>
          <w:sz w:val="48"/>
          <w:szCs w:val="20"/>
          <w:u w:val="single"/>
          <w:lang w:val="zh-CN"/>
        </w:rPr>
        <w:t>项目</w:t>
      </w:r>
    </w:p>
    <w:p w14:paraId="2F644817">
      <w:pPr>
        <w:autoSpaceDE w:val="0"/>
        <w:autoSpaceDN w:val="0"/>
        <w:jc w:val="center"/>
        <w:rPr>
          <w:rFonts w:hint="eastAsia" w:ascii="仿宋_GB2312" w:eastAsia="仿宋_GB2312"/>
          <w:color w:val="auto"/>
          <w:sz w:val="48"/>
          <w:szCs w:val="40"/>
          <w:lang w:val="zh-CN"/>
        </w:rPr>
      </w:pPr>
      <w:bookmarkStart w:id="5" w:name="_Toc28808"/>
      <w:r>
        <w:rPr>
          <w:rFonts w:hint="eastAsia" w:ascii="仿宋_GB2312" w:eastAsia="仿宋_GB2312"/>
          <w:color w:val="auto"/>
          <w:sz w:val="48"/>
          <w:szCs w:val="40"/>
          <w:lang w:val="en-US" w:eastAsia="zh-CN"/>
        </w:rPr>
        <w:t>招标</w:t>
      </w:r>
      <w:r>
        <w:rPr>
          <w:rFonts w:hint="eastAsia" w:ascii="仿宋_GB2312" w:eastAsia="仿宋_GB2312"/>
          <w:color w:val="auto"/>
          <w:sz w:val="48"/>
          <w:szCs w:val="40"/>
          <w:lang w:val="zh-CN"/>
        </w:rPr>
        <w:t>文件</w:t>
      </w:r>
      <w:bookmarkEnd w:id="5"/>
    </w:p>
    <w:p w14:paraId="7D176856">
      <w:pPr>
        <w:keepNext/>
        <w:keepLines/>
        <w:autoSpaceDE w:val="0"/>
        <w:autoSpaceDN w:val="0"/>
        <w:spacing w:before="340" w:after="330" w:line="576" w:lineRule="auto"/>
        <w:jc w:val="center"/>
        <w:rPr>
          <w:rFonts w:hint="eastAsia" w:ascii="仿宋_GB2312" w:hAnsi="Arial" w:eastAsia="仿宋_GB2312"/>
          <w:b/>
          <w:color w:val="auto"/>
          <w:sz w:val="52"/>
          <w:szCs w:val="52"/>
          <w:lang w:val="zh-CN"/>
        </w:rPr>
      </w:pPr>
      <w:r>
        <w:rPr>
          <w:rFonts w:hint="eastAsia" w:ascii="仿宋_GB2312" w:eastAsia="仿宋_GB2312"/>
          <w:color w:val="auto"/>
          <w:sz w:val="60"/>
          <w:szCs w:val="52"/>
          <w:lang w:val="zh-CN"/>
        </w:rPr>
        <w:t xml:space="preserve"> </w:t>
      </w:r>
    </w:p>
    <w:p w14:paraId="6A4869EA">
      <w:pPr>
        <w:autoSpaceDE w:val="0"/>
        <w:autoSpaceDN w:val="0"/>
        <w:adjustRightInd w:val="0"/>
        <w:snapToGrid w:val="0"/>
        <w:spacing w:line="360" w:lineRule="auto"/>
        <w:ind w:firstLine="1280" w:firstLineChars="400"/>
        <w:rPr>
          <w:rFonts w:hint="eastAsia" w:ascii="仿宋_GB2312" w:hAnsi="仿宋" w:eastAsia="仿宋_GB2312"/>
          <w:color w:val="auto"/>
          <w:sz w:val="28"/>
        </w:rPr>
      </w:pPr>
      <w:r>
        <w:rPr>
          <w:rFonts w:hint="eastAsia" w:ascii="仿宋_GB2312" w:hAnsi="仿宋" w:eastAsia="仿宋_GB2312"/>
          <w:color w:val="auto"/>
          <w:sz w:val="32"/>
          <w:lang w:val="zh-CN"/>
        </w:rPr>
        <w:t>项目名称：</w:t>
      </w:r>
      <w:r>
        <w:rPr>
          <w:rFonts w:hint="eastAsia" w:ascii="仿宋_GB2312" w:hAnsi="仿宋" w:eastAsia="仿宋_GB2312"/>
          <w:color w:val="auto"/>
          <w:sz w:val="28"/>
        </w:rPr>
        <w:t xml:space="preserve"> </w:t>
      </w:r>
      <w:r>
        <w:rPr>
          <w:rFonts w:hint="eastAsia" w:ascii="仿宋_GB2312" w:hAnsi="仿宋" w:eastAsia="仿宋_GB2312" w:cs="Times New Roman"/>
          <w:color w:val="auto"/>
          <w:kern w:val="0"/>
          <w:sz w:val="28"/>
          <w:szCs w:val="28"/>
          <w:lang w:val="en-US" w:eastAsia="zh-CN"/>
        </w:rPr>
        <w:t>泰安五岳公司危险废物处置项目</w:t>
      </w:r>
    </w:p>
    <w:p w14:paraId="5F636BAE">
      <w:pPr>
        <w:autoSpaceDE w:val="0"/>
        <w:autoSpaceDN w:val="0"/>
        <w:adjustRightInd w:val="0"/>
        <w:snapToGrid w:val="0"/>
        <w:spacing w:line="360" w:lineRule="auto"/>
        <w:ind w:firstLine="1280" w:firstLineChars="400"/>
        <w:rPr>
          <w:rFonts w:hint="eastAsia" w:ascii="仿宋_GB2312" w:hAnsi="仿宋" w:eastAsia="仿宋_GB2312"/>
          <w:color w:val="auto"/>
          <w:sz w:val="32"/>
        </w:rPr>
      </w:pPr>
      <w:r>
        <w:rPr>
          <w:rFonts w:hint="eastAsia" w:ascii="仿宋_GB2312" w:hAnsi="仿宋" w:eastAsia="仿宋_GB2312"/>
          <w:color w:val="auto"/>
          <w:sz w:val="32"/>
          <w:lang w:val="zh-CN"/>
        </w:rPr>
        <w:t xml:space="preserve">项目编号： </w:t>
      </w:r>
      <w:r>
        <w:rPr>
          <w:rFonts w:ascii="微软雅黑" w:hAnsi="微软雅黑" w:eastAsia="微软雅黑" w:cs="微软雅黑"/>
          <w:i w:val="0"/>
          <w:iCs w:val="0"/>
          <w:caps w:val="0"/>
          <w:color w:val="000000"/>
          <w:spacing w:val="0"/>
          <w:sz w:val="24"/>
          <w:szCs w:val="24"/>
          <w:shd w:val="clear" w:fill="FCFCFC"/>
        </w:rPr>
        <w:t>CGZXCX-202408-2933</w:t>
      </w:r>
      <w:r>
        <w:rPr>
          <w:rFonts w:hint="eastAsia" w:ascii="仿宋_GB2312" w:hAnsi="仿宋" w:eastAsia="仿宋_GB2312"/>
          <w:color w:val="auto"/>
          <w:sz w:val="32"/>
        </w:rPr>
        <w:t xml:space="preserve"> </w:t>
      </w:r>
    </w:p>
    <w:p w14:paraId="393C8275">
      <w:pPr>
        <w:autoSpaceDE w:val="0"/>
        <w:autoSpaceDN w:val="0"/>
        <w:adjustRightInd w:val="0"/>
        <w:snapToGrid w:val="0"/>
        <w:spacing w:line="360" w:lineRule="auto"/>
        <w:ind w:firstLine="1280" w:firstLineChars="400"/>
        <w:rPr>
          <w:rFonts w:hint="eastAsia" w:ascii="仿宋_GB2312" w:hAnsi="仿宋" w:eastAsia="仿宋_GB2312"/>
          <w:color w:val="auto"/>
          <w:sz w:val="32"/>
        </w:rPr>
      </w:pPr>
      <w:r>
        <w:rPr>
          <w:rFonts w:hint="eastAsia" w:ascii="仿宋_GB2312" w:hAnsi="仿宋" w:eastAsia="仿宋_GB2312"/>
          <w:color w:val="auto"/>
          <w:sz w:val="32"/>
          <w:lang w:val="zh-CN"/>
        </w:rPr>
        <w:t>供应商全称：</w:t>
      </w:r>
      <w:r>
        <w:rPr>
          <w:rFonts w:hint="eastAsia" w:ascii="仿宋_GB2312" w:hAnsi="仿宋" w:eastAsia="仿宋_GB2312"/>
          <w:color w:val="auto"/>
          <w:sz w:val="32"/>
        </w:rPr>
        <w:t xml:space="preserve"> </w:t>
      </w:r>
    </w:p>
    <w:p w14:paraId="4994BA8D">
      <w:pPr>
        <w:autoSpaceDE w:val="0"/>
        <w:autoSpaceDN w:val="0"/>
        <w:spacing w:line="360" w:lineRule="auto"/>
        <w:ind w:firstLine="482"/>
        <w:rPr>
          <w:rFonts w:hint="eastAsia" w:ascii="仿宋_GB2312" w:hAnsi="仿宋" w:eastAsia="仿宋_GB2312"/>
          <w:color w:val="auto"/>
          <w:szCs w:val="21"/>
          <w:lang w:val="zh-CN"/>
        </w:rPr>
      </w:pPr>
      <w:r>
        <w:rPr>
          <w:rFonts w:hint="eastAsia" w:ascii="仿宋_GB2312" w:hAnsi="仿宋" w:eastAsia="仿宋_GB2312"/>
          <w:color w:val="auto"/>
          <w:sz w:val="32"/>
        </w:rPr>
        <w:t xml:space="preserve">     </w:t>
      </w:r>
      <w:r>
        <w:rPr>
          <w:rFonts w:hint="eastAsia" w:ascii="仿宋_GB2312" w:hAnsi="仿宋" w:eastAsia="仿宋_GB2312"/>
          <w:color w:val="auto"/>
          <w:sz w:val="32"/>
          <w:lang w:val="zh-CN"/>
        </w:rPr>
        <w:t>日期：</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lang w:val="zh-CN"/>
        </w:rPr>
        <w:t>年</w:t>
      </w: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rPr>
        <w:t xml:space="preserve"> </w:t>
      </w:r>
      <w:r>
        <w:rPr>
          <w:rFonts w:hint="eastAsia" w:ascii="仿宋_GB2312" w:hAnsi="仿宋" w:eastAsia="仿宋_GB2312"/>
          <w:color w:val="auto"/>
          <w:sz w:val="32"/>
          <w:lang w:val="zh-CN"/>
        </w:rPr>
        <w:t>月</w:t>
      </w: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lang w:val="zh-CN"/>
        </w:rPr>
        <w:t>日</w:t>
      </w:r>
    </w:p>
    <w:p w14:paraId="2C7FD6DE">
      <w:pPr>
        <w:keepNext/>
        <w:keepLines/>
        <w:autoSpaceDE w:val="0"/>
        <w:autoSpaceDN w:val="0"/>
        <w:spacing w:before="120" w:after="120" w:line="300" w:lineRule="auto"/>
        <w:ind w:firstLine="630"/>
        <w:rPr>
          <w:rFonts w:hint="eastAsia" w:ascii="仿宋_GB2312" w:hAnsi="仿宋" w:eastAsia="仿宋_GB2312"/>
          <w:color w:val="auto"/>
          <w:szCs w:val="21"/>
          <w:lang w:val="zh-CN"/>
        </w:rPr>
      </w:pPr>
      <w:r>
        <w:rPr>
          <w:rFonts w:hint="eastAsia" w:ascii="仿宋_GB2312" w:hAnsi="仿宋" w:eastAsia="仿宋_GB2312"/>
          <w:color w:val="auto"/>
          <w:szCs w:val="21"/>
          <w:lang w:val="zh-CN"/>
        </w:rPr>
        <w:t>注：本文件为响应文件正本一份，副本二份。</w:t>
      </w:r>
    </w:p>
    <w:p w14:paraId="3AF29ACB">
      <w:pPr>
        <w:snapToGrid w:val="0"/>
        <w:jc w:val="center"/>
        <w:rPr>
          <w:rFonts w:hint="eastAsia" w:ascii="仿宋_GB2312" w:eastAsia="仿宋_GB2312"/>
          <w:color w:val="auto"/>
          <w:sz w:val="44"/>
          <w:szCs w:val="44"/>
        </w:rPr>
      </w:pPr>
      <w:r>
        <w:rPr>
          <w:rFonts w:hint="eastAsia" w:ascii="仿宋_GB2312" w:hAnsi="Arial" w:eastAsia="仿宋_GB2312"/>
          <w:color w:val="auto"/>
          <w:sz w:val="32"/>
        </w:rPr>
        <w:br w:type="page"/>
      </w:r>
      <w:r>
        <w:rPr>
          <w:rFonts w:hint="eastAsia" w:ascii="仿宋_GB2312" w:eastAsia="仿宋_GB2312"/>
          <w:color w:val="auto"/>
          <w:sz w:val="32"/>
          <w:szCs w:val="40"/>
        </w:rPr>
        <w:t>报价表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172"/>
        <w:gridCol w:w="2190"/>
        <w:gridCol w:w="2285"/>
        <w:gridCol w:w="1079"/>
      </w:tblGrid>
      <w:tr w14:paraId="1F93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1700D52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项目编号</w:t>
            </w:r>
          </w:p>
        </w:tc>
        <w:tc>
          <w:tcPr>
            <w:tcW w:w="6726" w:type="dxa"/>
            <w:gridSpan w:val="4"/>
            <w:noWrap w:val="0"/>
            <w:vAlign w:val="center"/>
          </w:tcPr>
          <w:p w14:paraId="5223C428">
            <w:pPr>
              <w:snapToGrid w:val="0"/>
              <w:jc w:val="center"/>
              <w:rPr>
                <w:rFonts w:hint="eastAsia" w:ascii="仿宋_GB2312" w:eastAsia="仿宋_GB2312"/>
                <w:color w:val="auto"/>
                <w:sz w:val="28"/>
                <w:szCs w:val="28"/>
              </w:rPr>
            </w:pPr>
            <w:r>
              <w:rPr>
                <w:rFonts w:ascii="微软雅黑" w:hAnsi="微软雅黑" w:eastAsia="微软雅黑" w:cs="微软雅黑"/>
                <w:i w:val="0"/>
                <w:iCs w:val="0"/>
                <w:caps w:val="0"/>
                <w:color w:val="000000"/>
                <w:spacing w:val="0"/>
                <w:sz w:val="24"/>
                <w:szCs w:val="24"/>
                <w:shd w:val="clear" w:fill="FCFCFC"/>
              </w:rPr>
              <w:t>CGZXCX-202408-2933</w:t>
            </w:r>
          </w:p>
        </w:tc>
      </w:tr>
      <w:tr w14:paraId="1834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64430395">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项目名称</w:t>
            </w:r>
          </w:p>
        </w:tc>
        <w:tc>
          <w:tcPr>
            <w:tcW w:w="6726" w:type="dxa"/>
            <w:gridSpan w:val="4"/>
            <w:noWrap w:val="0"/>
            <w:vAlign w:val="center"/>
          </w:tcPr>
          <w:p w14:paraId="6E2A944F">
            <w:pPr>
              <w:snapToGrid w:val="0"/>
              <w:jc w:val="center"/>
              <w:rPr>
                <w:rFonts w:hint="eastAsia" w:ascii="仿宋_GB2312" w:eastAsia="仿宋_GB2312"/>
                <w:color w:val="auto"/>
                <w:sz w:val="28"/>
                <w:szCs w:val="28"/>
              </w:rPr>
            </w:pPr>
            <w:r>
              <w:rPr>
                <w:rFonts w:hint="eastAsia" w:ascii="宋体" w:hAnsi="宋体"/>
                <w:b w:val="0"/>
                <w:bCs w:val="0"/>
                <w:sz w:val="24"/>
                <w:u w:val="none"/>
                <w:lang w:val="en-US" w:eastAsia="zh-CN"/>
              </w:rPr>
              <w:t>泰安五岳公司危险废物处置项目</w:t>
            </w:r>
          </w:p>
        </w:tc>
      </w:tr>
      <w:tr w14:paraId="5D33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40" w:type="dxa"/>
            <w:vMerge w:val="restart"/>
            <w:noWrap w:val="0"/>
            <w:vAlign w:val="center"/>
          </w:tcPr>
          <w:p w14:paraId="56968441">
            <w:pPr>
              <w:snapToGrid w:val="0"/>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 xml:space="preserve">报价         </w:t>
            </w:r>
          </w:p>
        </w:tc>
        <w:tc>
          <w:tcPr>
            <w:tcW w:w="1172" w:type="dxa"/>
            <w:noWrap w:val="0"/>
            <w:vAlign w:val="center"/>
          </w:tcPr>
          <w:p w14:paraId="359AE689">
            <w:pPr>
              <w:snapToGrid w:val="0"/>
              <w:jc w:val="center"/>
              <w:rPr>
                <w:rFonts w:hint="default"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种类</w:t>
            </w:r>
          </w:p>
        </w:tc>
        <w:tc>
          <w:tcPr>
            <w:tcW w:w="2190" w:type="dxa"/>
            <w:noWrap w:val="0"/>
            <w:vAlign w:val="center"/>
          </w:tcPr>
          <w:p w14:paraId="727F6811">
            <w:pPr>
              <w:snapToGrid w:val="0"/>
              <w:jc w:val="center"/>
              <w:rPr>
                <w:rFonts w:hint="eastAsia"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单价/吨（含税）</w:t>
            </w:r>
          </w:p>
        </w:tc>
        <w:tc>
          <w:tcPr>
            <w:tcW w:w="2285" w:type="dxa"/>
            <w:noWrap w:val="0"/>
            <w:vAlign w:val="center"/>
          </w:tcPr>
          <w:p w14:paraId="394969FD">
            <w:pPr>
              <w:snapToGrid w:val="0"/>
              <w:jc w:val="center"/>
              <w:rPr>
                <w:rFonts w:hint="eastAsia" w:ascii="仿宋_GB2312" w:eastAsia="仿宋_GB2312"/>
                <w:b w:val="0"/>
                <w:bCs w:val="0"/>
                <w:color w:val="auto"/>
                <w:sz w:val="28"/>
                <w:szCs w:val="28"/>
                <w:u w:val="none"/>
              </w:rPr>
            </w:pPr>
            <w:r>
              <w:rPr>
                <w:rFonts w:hint="eastAsia" w:ascii="仿宋_GB2312" w:eastAsia="仿宋_GB2312"/>
                <w:b w:val="0"/>
                <w:bCs w:val="0"/>
                <w:color w:val="auto"/>
                <w:sz w:val="28"/>
                <w:szCs w:val="28"/>
                <w:u w:val="none"/>
                <w:lang w:val="en-US" w:eastAsia="zh-CN"/>
              </w:rPr>
              <w:t>单价/吨（未税）</w:t>
            </w:r>
          </w:p>
        </w:tc>
        <w:tc>
          <w:tcPr>
            <w:tcW w:w="1079" w:type="dxa"/>
            <w:noWrap w:val="0"/>
            <w:vAlign w:val="center"/>
          </w:tcPr>
          <w:p w14:paraId="26A85ED6">
            <w:pPr>
              <w:snapToGrid w:val="0"/>
              <w:jc w:val="center"/>
              <w:rPr>
                <w:rFonts w:hint="eastAsia"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税率</w:t>
            </w:r>
          </w:p>
        </w:tc>
      </w:tr>
      <w:tr w14:paraId="3BB4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40" w:type="dxa"/>
            <w:vMerge w:val="continue"/>
            <w:noWrap w:val="0"/>
            <w:vAlign w:val="center"/>
          </w:tcPr>
          <w:p w14:paraId="271FFE1C">
            <w:pPr>
              <w:snapToGrid w:val="0"/>
            </w:pPr>
          </w:p>
        </w:tc>
        <w:tc>
          <w:tcPr>
            <w:tcW w:w="1172" w:type="dxa"/>
            <w:noWrap w:val="0"/>
            <w:vAlign w:val="center"/>
          </w:tcPr>
          <w:p w14:paraId="58684EE6">
            <w:pPr>
              <w:snapToGrid w:val="0"/>
              <w:jc w:val="center"/>
              <w:rPr>
                <w:rFonts w:hint="default"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HW12</w:t>
            </w:r>
          </w:p>
        </w:tc>
        <w:tc>
          <w:tcPr>
            <w:tcW w:w="2190" w:type="dxa"/>
            <w:noWrap w:val="0"/>
            <w:vAlign w:val="center"/>
          </w:tcPr>
          <w:p w14:paraId="1922C842">
            <w:pPr>
              <w:snapToGrid w:val="0"/>
              <w:jc w:val="center"/>
              <w:rPr>
                <w:b w:val="0"/>
                <w:bCs w:val="0"/>
                <w:u w:val="none"/>
              </w:rPr>
            </w:pPr>
          </w:p>
        </w:tc>
        <w:tc>
          <w:tcPr>
            <w:tcW w:w="2285" w:type="dxa"/>
            <w:noWrap w:val="0"/>
            <w:vAlign w:val="center"/>
          </w:tcPr>
          <w:p w14:paraId="7819337A">
            <w:pPr>
              <w:snapToGrid w:val="0"/>
              <w:jc w:val="center"/>
              <w:rPr>
                <w:b w:val="0"/>
                <w:bCs w:val="0"/>
                <w:u w:val="none"/>
              </w:rPr>
            </w:pPr>
          </w:p>
        </w:tc>
        <w:tc>
          <w:tcPr>
            <w:tcW w:w="1079" w:type="dxa"/>
            <w:noWrap w:val="0"/>
            <w:vAlign w:val="center"/>
          </w:tcPr>
          <w:p w14:paraId="73C79978">
            <w:pPr>
              <w:snapToGrid w:val="0"/>
              <w:jc w:val="center"/>
              <w:rPr>
                <w:rFonts w:hint="eastAsia" w:ascii="仿宋_GB2312" w:eastAsia="仿宋_GB2312"/>
                <w:b w:val="0"/>
                <w:bCs w:val="0"/>
                <w:color w:val="auto"/>
                <w:sz w:val="28"/>
                <w:szCs w:val="28"/>
                <w:u w:val="none"/>
              </w:rPr>
            </w:pPr>
          </w:p>
        </w:tc>
      </w:tr>
      <w:tr w14:paraId="528D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40" w:type="dxa"/>
            <w:vMerge w:val="continue"/>
            <w:noWrap w:val="0"/>
            <w:vAlign w:val="center"/>
          </w:tcPr>
          <w:p w14:paraId="7E0A8F3F">
            <w:pPr>
              <w:snapToGrid w:val="0"/>
              <w:rPr>
                <w:rFonts w:hint="eastAsia" w:ascii="仿宋_GB2312" w:eastAsia="仿宋_GB2312"/>
                <w:color w:val="auto"/>
                <w:sz w:val="28"/>
                <w:szCs w:val="28"/>
                <w:u w:val="single"/>
              </w:rPr>
            </w:pPr>
          </w:p>
        </w:tc>
        <w:tc>
          <w:tcPr>
            <w:tcW w:w="1172" w:type="dxa"/>
            <w:noWrap w:val="0"/>
            <w:vAlign w:val="center"/>
          </w:tcPr>
          <w:p w14:paraId="476615CF">
            <w:pPr>
              <w:snapToGrid w:val="0"/>
              <w:jc w:val="center"/>
              <w:rPr>
                <w:rFonts w:hint="default" w:ascii="仿宋_GB2312" w:eastAsia="仿宋_GB2312"/>
                <w:b w:val="0"/>
                <w:bCs w:val="0"/>
                <w:color w:val="auto"/>
                <w:sz w:val="28"/>
                <w:szCs w:val="28"/>
                <w:u w:val="none"/>
                <w:lang w:val="en-US" w:eastAsia="zh-CN"/>
              </w:rPr>
            </w:pPr>
            <w:r>
              <w:rPr>
                <w:rFonts w:hint="eastAsia" w:ascii="仿宋_GB2312" w:eastAsia="仿宋_GB2312"/>
                <w:b w:val="0"/>
                <w:bCs w:val="0"/>
                <w:color w:val="auto"/>
                <w:sz w:val="28"/>
                <w:szCs w:val="28"/>
                <w:u w:val="none"/>
                <w:lang w:val="en-US" w:eastAsia="zh-CN"/>
              </w:rPr>
              <w:t>HW49</w:t>
            </w:r>
          </w:p>
        </w:tc>
        <w:tc>
          <w:tcPr>
            <w:tcW w:w="2190" w:type="dxa"/>
            <w:noWrap w:val="0"/>
            <w:vAlign w:val="center"/>
          </w:tcPr>
          <w:p w14:paraId="460550E4">
            <w:pPr>
              <w:snapToGrid w:val="0"/>
              <w:jc w:val="center"/>
              <w:rPr>
                <w:rFonts w:hint="eastAsia" w:ascii="仿宋_GB2312" w:eastAsia="仿宋_GB2312"/>
                <w:b w:val="0"/>
                <w:bCs w:val="0"/>
                <w:color w:val="auto"/>
                <w:sz w:val="28"/>
                <w:szCs w:val="28"/>
                <w:u w:val="none"/>
              </w:rPr>
            </w:pPr>
          </w:p>
        </w:tc>
        <w:tc>
          <w:tcPr>
            <w:tcW w:w="2285" w:type="dxa"/>
            <w:noWrap w:val="0"/>
            <w:vAlign w:val="center"/>
          </w:tcPr>
          <w:p w14:paraId="51C663D5">
            <w:pPr>
              <w:snapToGrid w:val="0"/>
              <w:jc w:val="center"/>
              <w:rPr>
                <w:rFonts w:hint="eastAsia" w:ascii="仿宋_GB2312" w:eastAsia="仿宋_GB2312"/>
                <w:b w:val="0"/>
                <w:bCs w:val="0"/>
                <w:color w:val="auto"/>
                <w:sz w:val="28"/>
                <w:szCs w:val="28"/>
                <w:u w:val="none"/>
              </w:rPr>
            </w:pPr>
          </w:p>
        </w:tc>
        <w:tc>
          <w:tcPr>
            <w:tcW w:w="1079" w:type="dxa"/>
            <w:noWrap w:val="0"/>
            <w:vAlign w:val="center"/>
          </w:tcPr>
          <w:p w14:paraId="07BC1B72">
            <w:pPr>
              <w:snapToGrid w:val="0"/>
              <w:jc w:val="center"/>
              <w:rPr>
                <w:rFonts w:hint="eastAsia" w:ascii="仿宋_GB2312" w:eastAsia="仿宋_GB2312"/>
                <w:b w:val="0"/>
                <w:bCs w:val="0"/>
                <w:color w:val="auto"/>
                <w:sz w:val="28"/>
                <w:szCs w:val="28"/>
                <w:u w:val="none"/>
              </w:rPr>
            </w:pPr>
          </w:p>
        </w:tc>
      </w:tr>
      <w:tr w14:paraId="0E70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2040" w:type="dxa"/>
            <w:noWrap w:val="0"/>
            <w:vAlign w:val="center"/>
          </w:tcPr>
          <w:p w14:paraId="3B75E42B">
            <w:pPr>
              <w:snapToGrid w:val="0"/>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付款方式</w:t>
            </w:r>
          </w:p>
        </w:tc>
        <w:tc>
          <w:tcPr>
            <w:tcW w:w="6726" w:type="dxa"/>
            <w:gridSpan w:val="4"/>
            <w:noWrap w:val="0"/>
            <w:vAlign w:val="center"/>
          </w:tcPr>
          <w:p w14:paraId="117932D2">
            <w:pPr>
              <w:snapToGrid w:val="0"/>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电汇</w:t>
            </w:r>
          </w:p>
        </w:tc>
      </w:tr>
      <w:tr w14:paraId="134C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040" w:type="dxa"/>
            <w:noWrap w:val="0"/>
            <w:vAlign w:val="center"/>
          </w:tcPr>
          <w:p w14:paraId="30240E04">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服务期限</w:t>
            </w:r>
          </w:p>
        </w:tc>
        <w:tc>
          <w:tcPr>
            <w:tcW w:w="6726" w:type="dxa"/>
            <w:gridSpan w:val="4"/>
            <w:noWrap w:val="0"/>
            <w:vAlign w:val="center"/>
          </w:tcPr>
          <w:p w14:paraId="0FBCADD0">
            <w:pPr>
              <w:snapToGrid w:val="0"/>
              <w:jc w:val="center"/>
              <w:rPr>
                <w:rFonts w:hint="default" w:ascii="仿宋_GB2312" w:eastAsia="仿宋_GB2312"/>
                <w:color w:val="auto"/>
                <w:sz w:val="28"/>
                <w:szCs w:val="28"/>
                <w:lang w:val="en-US" w:eastAsia="zh-CN"/>
              </w:rPr>
            </w:pPr>
          </w:p>
        </w:tc>
      </w:tr>
      <w:tr w14:paraId="4F4B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040" w:type="dxa"/>
            <w:noWrap w:val="0"/>
            <w:vAlign w:val="center"/>
          </w:tcPr>
          <w:p w14:paraId="629EE00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p w14:paraId="3D71EEC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或其授权代表</w:t>
            </w:r>
          </w:p>
        </w:tc>
        <w:tc>
          <w:tcPr>
            <w:tcW w:w="6726" w:type="dxa"/>
            <w:gridSpan w:val="4"/>
            <w:noWrap w:val="0"/>
            <w:vAlign w:val="center"/>
          </w:tcPr>
          <w:p w14:paraId="0E7A32ED">
            <w:pPr>
              <w:snapToGrid w:val="0"/>
              <w:jc w:val="center"/>
              <w:rPr>
                <w:rFonts w:hint="eastAsia" w:ascii="仿宋_GB2312" w:eastAsia="仿宋_GB2312"/>
                <w:b/>
                <w:color w:val="auto"/>
                <w:sz w:val="28"/>
                <w:szCs w:val="28"/>
              </w:rPr>
            </w:pPr>
          </w:p>
          <w:p w14:paraId="2ECE5B4C">
            <w:pPr>
              <w:snapToGrid w:val="0"/>
              <w:jc w:val="center"/>
              <w:rPr>
                <w:rFonts w:hint="eastAsia" w:ascii="仿宋_GB2312" w:eastAsia="仿宋_GB2312"/>
                <w:b/>
                <w:color w:val="auto"/>
                <w:sz w:val="28"/>
                <w:szCs w:val="28"/>
              </w:rPr>
            </w:pPr>
          </w:p>
          <w:p w14:paraId="5EC0E952">
            <w:pPr>
              <w:snapToGrid w:val="0"/>
              <w:jc w:val="center"/>
              <w:rPr>
                <w:rFonts w:hint="eastAsia" w:ascii="仿宋_GB2312" w:eastAsia="仿宋_GB2312"/>
                <w:b/>
                <w:color w:val="auto"/>
                <w:sz w:val="28"/>
                <w:szCs w:val="28"/>
              </w:rPr>
            </w:pP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（签名处）</w:t>
            </w:r>
          </w:p>
        </w:tc>
      </w:tr>
      <w:tr w14:paraId="3F5B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40" w:type="dxa"/>
            <w:noWrap w:val="0"/>
            <w:vAlign w:val="center"/>
          </w:tcPr>
          <w:p w14:paraId="1BD230DC">
            <w:pPr>
              <w:snapToGrid w:val="0"/>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6726" w:type="dxa"/>
            <w:gridSpan w:val="4"/>
            <w:noWrap w:val="0"/>
            <w:vAlign w:val="center"/>
          </w:tcPr>
          <w:p w14:paraId="186D0F2C">
            <w:pPr>
              <w:snapToGrid w:val="0"/>
              <w:jc w:val="center"/>
              <w:rPr>
                <w:rFonts w:hint="eastAsia" w:ascii="仿宋_GB2312" w:eastAsia="仿宋_GB2312"/>
                <w:color w:val="auto"/>
                <w:sz w:val="28"/>
                <w:szCs w:val="28"/>
              </w:rPr>
            </w:pPr>
          </w:p>
        </w:tc>
      </w:tr>
      <w:tr w14:paraId="6AEC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040" w:type="dxa"/>
            <w:noWrap w:val="0"/>
            <w:vAlign w:val="center"/>
          </w:tcPr>
          <w:p w14:paraId="4E53F18F">
            <w:pPr>
              <w:snapToGrid w:val="0"/>
              <w:jc w:val="center"/>
              <w:rPr>
                <w:rFonts w:hint="eastAsia" w:ascii="仿宋_GB2312" w:eastAsia="仿宋_GB2312"/>
                <w:color w:val="auto"/>
                <w:sz w:val="28"/>
                <w:szCs w:val="28"/>
              </w:rPr>
            </w:pPr>
            <w:r>
              <w:rPr>
                <w:rFonts w:hint="eastAsia" w:ascii="仿宋_GB2312" w:eastAsia="仿宋_GB2312"/>
                <w:color w:val="auto"/>
                <w:sz w:val="28"/>
                <w:szCs w:val="28"/>
              </w:rPr>
              <w:t>供应商名称</w:t>
            </w:r>
          </w:p>
        </w:tc>
        <w:tc>
          <w:tcPr>
            <w:tcW w:w="6726" w:type="dxa"/>
            <w:gridSpan w:val="4"/>
            <w:noWrap w:val="0"/>
            <w:vAlign w:val="center"/>
          </w:tcPr>
          <w:p w14:paraId="38EFF90C">
            <w:pPr>
              <w:snapToGrid w:val="0"/>
              <w:jc w:val="center"/>
              <w:rPr>
                <w:rFonts w:hint="eastAsia" w:ascii="仿宋_GB2312" w:eastAsia="仿宋_GB2312"/>
                <w:color w:val="auto"/>
                <w:sz w:val="28"/>
                <w:szCs w:val="28"/>
              </w:rPr>
            </w:pPr>
          </w:p>
        </w:tc>
      </w:tr>
      <w:tr w14:paraId="095D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2D2ACAD9">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报价日期</w:t>
            </w:r>
          </w:p>
        </w:tc>
        <w:tc>
          <w:tcPr>
            <w:tcW w:w="6726" w:type="dxa"/>
            <w:gridSpan w:val="4"/>
            <w:noWrap w:val="0"/>
            <w:vAlign w:val="center"/>
          </w:tcPr>
          <w:p w14:paraId="0F84EFC8">
            <w:pPr>
              <w:snapToGrid w:val="0"/>
              <w:jc w:val="center"/>
              <w:rPr>
                <w:rFonts w:hint="eastAsia" w:ascii="仿宋_GB2312" w:eastAsia="仿宋_GB2312"/>
                <w:color w:val="auto"/>
                <w:sz w:val="28"/>
                <w:szCs w:val="28"/>
              </w:rPr>
            </w:pPr>
            <w:r>
              <w:rPr>
                <w:rFonts w:hint="eastAsia" w:ascii="仿宋_GB2312" w:eastAsia="仿宋_GB2312"/>
                <w:color w:val="auto"/>
                <w:sz w:val="28"/>
                <w:szCs w:val="28"/>
              </w:rPr>
              <w:t>年   月   日</w:t>
            </w:r>
          </w:p>
        </w:tc>
      </w:tr>
    </w:tbl>
    <w:p w14:paraId="7302FE9D">
      <w:pPr>
        <w:autoSpaceDE w:val="0"/>
        <w:autoSpaceDN w:val="0"/>
        <w:spacing w:line="400" w:lineRule="exact"/>
        <w:jc w:val="both"/>
        <w:rPr>
          <w:rFonts w:hint="eastAsia" w:ascii="仿宋_GB2312" w:hAnsi="宋体" w:eastAsia="仿宋_GB2312"/>
          <w:color w:val="auto"/>
        </w:rPr>
      </w:pPr>
      <w:r>
        <w:rPr>
          <w:rFonts w:hint="eastAsia" w:ascii="仿宋_GB2312" w:hAnsi="宋体" w:eastAsia="仿宋_GB2312"/>
          <w:color w:val="auto"/>
        </w:rPr>
        <w:br w:type="page"/>
      </w:r>
    </w:p>
    <w:p w14:paraId="43B7B2B3">
      <w:pPr>
        <w:autoSpaceDE w:val="0"/>
        <w:autoSpaceDN w:val="0"/>
        <w:spacing w:line="400" w:lineRule="exact"/>
        <w:jc w:val="both"/>
        <w:rPr>
          <w:rFonts w:hint="eastAsia" w:ascii="仿宋_GB2312" w:hAnsi="宋体" w:eastAsia="仿宋_GB2312"/>
          <w:color w:val="auto"/>
        </w:rPr>
      </w:pPr>
    </w:p>
    <w:p w14:paraId="1EE9F8ED">
      <w:pPr>
        <w:autoSpaceDE w:val="0"/>
        <w:autoSpaceDN w:val="0"/>
        <w:spacing w:line="360" w:lineRule="auto"/>
        <w:jc w:val="both"/>
        <w:rPr>
          <w:rFonts w:hint="eastAsia" w:ascii="仿宋_GB2312" w:hAnsi="Arial" w:eastAsia="仿宋_GB2312"/>
          <w:color w:val="auto"/>
          <w:sz w:val="28"/>
          <w:szCs w:val="28"/>
          <w:lang w:val="zh-CN"/>
        </w:rPr>
      </w:pPr>
      <w:r>
        <w:rPr>
          <w:rFonts w:hint="eastAsia" w:ascii="仿宋_GB2312" w:hAnsi="Arial" w:eastAsia="仿宋_GB2312"/>
          <w:color w:val="auto"/>
          <w:sz w:val="28"/>
          <w:lang w:val="zh-CN"/>
        </w:rPr>
        <w:t>三</w:t>
      </w:r>
      <w:r>
        <w:rPr>
          <w:rFonts w:hint="eastAsia" w:ascii="仿宋_GB2312" w:hAnsi="Arial" w:eastAsia="仿宋_GB2312"/>
          <w:color w:val="auto"/>
          <w:sz w:val="28"/>
          <w:szCs w:val="28"/>
          <w:lang w:val="zh-CN"/>
        </w:rPr>
        <w:t>、法定代表人身份证明</w:t>
      </w:r>
    </w:p>
    <w:p w14:paraId="31C45826">
      <w:pPr>
        <w:spacing w:line="360" w:lineRule="auto"/>
        <w:rPr>
          <w:rFonts w:hint="eastAsia" w:ascii="仿宋_GB2312" w:hAnsi="宋体" w:eastAsia="仿宋_GB2312"/>
          <w:color w:val="auto"/>
          <w:sz w:val="24"/>
        </w:rPr>
      </w:pPr>
      <w:r>
        <w:rPr>
          <w:rFonts w:hint="eastAsia" w:ascii="仿宋_GB2312" w:hAnsi="宋体" w:eastAsia="仿宋_GB2312"/>
          <w:color w:val="auto"/>
          <w:sz w:val="24"/>
        </w:rPr>
        <w:t>供应商名称：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6B1EA725">
      <w:pPr>
        <w:spacing w:line="360" w:lineRule="auto"/>
        <w:rPr>
          <w:rFonts w:hint="eastAsia" w:ascii="仿宋_GB2312" w:hAnsi="宋体" w:eastAsia="仿宋_GB2312"/>
          <w:color w:val="auto"/>
          <w:sz w:val="24"/>
        </w:rPr>
      </w:pPr>
      <w:r>
        <w:rPr>
          <w:rFonts w:hint="eastAsia" w:ascii="仿宋_GB2312" w:hAnsi="宋体" w:eastAsia="仿宋_GB2312"/>
          <w:color w:val="auto"/>
          <w:sz w:val="24"/>
        </w:rPr>
        <w:t>单位性质：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24853315">
      <w:pPr>
        <w:spacing w:line="360" w:lineRule="auto"/>
        <w:rPr>
          <w:rFonts w:hint="eastAsia" w:ascii="仿宋_GB2312" w:hAnsi="宋体" w:eastAsia="仿宋_GB2312"/>
          <w:color w:val="auto"/>
          <w:sz w:val="24"/>
        </w:rPr>
      </w:pPr>
      <w:r>
        <w:rPr>
          <w:rFonts w:hint="eastAsia" w:ascii="仿宋_GB2312" w:hAnsi="宋体" w:eastAsia="仿宋_GB2312"/>
          <w:color w:val="auto"/>
          <w:sz w:val="24"/>
        </w:rPr>
        <w:t>地址：</w:t>
      </w:r>
      <w:r>
        <w:rPr>
          <w:rFonts w:hint="eastAsia" w:ascii="仿宋_GB2312" w:hAnsi="宋体" w:eastAsia="仿宋_GB2312"/>
          <w:color w:val="auto"/>
          <w:sz w:val="24"/>
          <w:u w:val="single"/>
        </w:rPr>
        <w:t xml:space="preserve">                                   </w:t>
      </w:r>
    </w:p>
    <w:p w14:paraId="7FE94877">
      <w:pPr>
        <w:spacing w:line="360" w:lineRule="auto"/>
        <w:rPr>
          <w:rFonts w:hint="eastAsia" w:ascii="仿宋_GB2312" w:hAnsi="宋体" w:eastAsia="仿宋_GB2312"/>
          <w:color w:val="auto"/>
          <w:sz w:val="24"/>
        </w:rPr>
      </w:pPr>
      <w:r>
        <w:rPr>
          <w:rFonts w:hint="eastAsia" w:ascii="仿宋_GB2312" w:hAnsi="宋体" w:eastAsia="仿宋_GB2312"/>
          <w:color w:val="auto"/>
          <w:sz w:val="24"/>
        </w:rPr>
        <w:t>成立时间：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109C76E7">
      <w:pPr>
        <w:spacing w:line="360" w:lineRule="auto"/>
        <w:rPr>
          <w:rFonts w:hint="eastAsia" w:ascii="仿宋_GB2312" w:hAnsi="宋体" w:eastAsia="仿宋_GB2312"/>
          <w:color w:val="auto"/>
          <w:sz w:val="24"/>
        </w:rPr>
      </w:pPr>
      <w:r>
        <w:rPr>
          <w:rFonts w:hint="eastAsia" w:ascii="仿宋_GB2312" w:hAnsi="宋体" w:eastAsia="仿宋_GB2312"/>
          <w:color w:val="auto"/>
          <w:sz w:val="24"/>
        </w:rPr>
        <w:t>经营期限：</w:t>
      </w:r>
      <w:r>
        <w:rPr>
          <w:rFonts w:hint="eastAsia" w:ascii="仿宋_GB2312" w:hAnsi="宋体" w:eastAsia="仿宋_GB2312"/>
          <w:color w:val="auto"/>
          <w:sz w:val="24"/>
          <w:u w:val="single"/>
        </w:rPr>
        <w:t xml:space="preserve">                               </w:t>
      </w:r>
    </w:p>
    <w:p w14:paraId="521E890D">
      <w:pPr>
        <w:spacing w:line="360" w:lineRule="auto"/>
        <w:rPr>
          <w:rFonts w:hint="eastAsia" w:ascii="仿宋_GB2312" w:hAnsi="宋体" w:eastAsia="仿宋_GB2312"/>
          <w:color w:val="auto"/>
          <w:sz w:val="24"/>
        </w:rPr>
      </w:pPr>
      <w:r>
        <w:rPr>
          <w:rFonts w:hint="eastAsia" w:ascii="仿宋_GB2312" w:hAnsi="宋体" w:eastAsia="仿宋_GB2312"/>
          <w:color w:val="auto"/>
          <w:sz w:val="24"/>
        </w:rPr>
        <w:t>姓名：</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性别：</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职务：</w:t>
      </w:r>
      <w:r>
        <w:rPr>
          <w:rFonts w:hint="eastAsia" w:ascii="仿宋_GB2312" w:hAnsi="宋体" w:eastAsia="仿宋_GB2312"/>
          <w:color w:val="auto"/>
          <w:sz w:val="24"/>
          <w:u w:val="single"/>
        </w:rPr>
        <w:t xml:space="preserve">        </w:t>
      </w:r>
    </w:p>
    <w:p w14:paraId="47738AE9">
      <w:pPr>
        <w:spacing w:line="360" w:lineRule="auto"/>
        <w:rPr>
          <w:rFonts w:hint="eastAsia" w:ascii="仿宋_GB2312" w:hAnsi="宋体" w:eastAsia="仿宋_GB2312"/>
          <w:color w:val="auto"/>
          <w:sz w:val="24"/>
        </w:rPr>
      </w:pPr>
      <w:r>
        <w:rPr>
          <w:rFonts w:hint="eastAsia" w:ascii="仿宋_GB2312" w:hAnsi="宋体" w:eastAsia="仿宋_GB2312"/>
          <w:color w:val="auto"/>
          <w:sz w:val="24"/>
        </w:rPr>
        <w:t>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（供应商名称）的法定代表人。</w:t>
      </w:r>
    </w:p>
    <w:p w14:paraId="7314EF18">
      <w:pPr>
        <w:spacing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特此证明。</w:t>
      </w:r>
    </w:p>
    <w:p w14:paraId="004EFBDA">
      <w:pPr>
        <w:spacing w:line="360" w:lineRule="auto"/>
        <w:rPr>
          <w:rFonts w:hint="eastAsia" w:ascii="仿宋_GB2312" w:hAnsi="宋体" w:eastAsia="仿宋_GB2312"/>
          <w:color w:val="auto"/>
          <w:sz w:val="24"/>
        </w:rPr>
      </w:pPr>
      <w:r>
        <w:rPr>
          <w:rFonts w:hint="eastAsia" w:ascii="仿宋_GB2312" w:hAnsi="宋体" w:eastAsia="仿宋_GB2312"/>
          <w:color w:val="auto"/>
          <w:sz w:val="24"/>
        </w:rPr>
        <w:t xml:space="preserve">                                  供应商：</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（盖单位章）</w:t>
      </w:r>
    </w:p>
    <w:p w14:paraId="79D82AFA">
      <w:pPr>
        <w:spacing w:line="360" w:lineRule="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日           </w:t>
      </w:r>
    </w:p>
    <w:p w14:paraId="25C24BE4">
      <w:pPr>
        <w:autoSpaceDE w:val="0"/>
        <w:autoSpaceDN w:val="0"/>
        <w:spacing w:line="360" w:lineRule="auto"/>
        <w:jc w:val="center"/>
        <w:rPr>
          <w:rFonts w:hint="eastAsia" w:ascii="仿宋_GB2312" w:hAnsi="Arial" w:eastAsia="仿宋_GB2312"/>
          <w:color w:val="auto"/>
          <w:sz w:val="28"/>
          <w:szCs w:val="28"/>
          <w:lang w:val="zh-CN"/>
        </w:rPr>
      </w:pPr>
      <w:r>
        <w:rPr>
          <w:rFonts w:hint="eastAsia" w:ascii="仿宋_GB2312" w:hAnsi="宋体" w:eastAsia="仿宋_GB2312"/>
          <w:b/>
          <w:color w:val="auto"/>
          <w:sz w:val="28"/>
          <w:szCs w:val="28"/>
        </w:rPr>
        <w:br w:type="page"/>
      </w:r>
      <w:r>
        <w:rPr>
          <w:rFonts w:hint="eastAsia" w:ascii="仿宋_GB2312" w:hAnsi="Arial" w:eastAsia="仿宋_GB2312"/>
          <w:color w:val="auto"/>
          <w:sz w:val="28"/>
          <w:szCs w:val="28"/>
          <w:lang w:val="zh-CN"/>
        </w:rPr>
        <w:t>四、授权委托书</w:t>
      </w:r>
    </w:p>
    <w:p w14:paraId="718CD985">
      <w:pPr>
        <w:topLinePunct/>
        <w:spacing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（供应商名称）的法定代表人，现委托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（姓名）为我方代理人。代理人根据授权，以我方名义签署、澄清、说明、补正、递交、撤回、修改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（项目名称）响应文件、签订合同和处理有关事宜，其法律后果由我方承担。</w:t>
      </w:r>
    </w:p>
    <w:p w14:paraId="21AF2528">
      <w:pPr>
        <w:spacing w:line="360" w:lineRule="auto"/>
        <w:rPr>
          <w:rFonts w:hint="eastAsia" w:ascii="仿宋_GB2312" w:hAnsi="宋体" w:eastAsia="仿宋_GB2312"/>
          <w:color w:val="auto"/>
          <w:sz w:val="24"/>
        </w:rPr>
      </w:pPr>
      <w:r>
        <w:rPr>
          <w:rFonts w:hint="eastAsia" w:ascii="仿宋_GB2312" w:hAnsi="宋体" w:eastAsia="仿宋_GB2312"/>
          <w:color w:val="auto"/>
          <w:sz w:val="24"/>
        </w:rPr>
        <w:t xml:space="preserve">    委托期限：</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195287BE">
      <w:pPr>
        <w:spacing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代理人无转委托权。</w:t>
      </w:r>
    </w:p>
    <w:p w14:paraId="291E786A">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附：法定代表人身份证明及授权代表身份证明。</w:t>
      </w:r>
    </w:p>
    <w:tbl>
      <w:tblPr>
        <w:tblStyle w:val="21"/>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9"/>
        <w:gridCol w:w="4589"/>
      </w:tblGrid>
      <w:tr w14:paraId="4E9C4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3" w:hRule="atLeast"/>
          <w:jc w:val="center"/>
        </w:trPr>
        <w:tc>
          <w:tcPr>
            <w:tcW w:w="4589" w:type="dxa"/>
            <w:noWrap w:val="0"/>
            <w:vAlign w:val="top"/>
          </w:tcPr>
          <w:p w14:paraId="46F533FD">
            <w:pPr>
              <w:autoSpaceDE w:val="0"/>
              <w:autoSpaceDN w:val="0"/>
              <w:adjustRightInd w:val="0"/>
              <w:spacing w:line="360" w:lineRule="auto"/>
              <w:ind w:right="1920"/>
              <w:rPr>
                <w:rFonts w:hint="eastAsia" w:ascii="仿宋" w:hAnsi="等线" w:eastAsia="仿宋" w:cs="仿宋"/>
                <w:color w:val="auto"/>
                <w:kern w:val="0"/>
                <w:sz w:val="24"/>
              </w:rPr>
            </w:pPr>
            <w:r>
              <w:rPr>
                <w:rFonts w:hint="eastAsia" w:ascii="仿宋" w:hAnsi="等线" w:eastAsia="仿宋" w:cs="仿宋"/>
                <w:color w:val="auto"/>
                <w:kern w:val="0"/>
                <w:sz w:val="24"/>
              </w:rPr>
              <w:t>法定代表人身份证复印件（正反面）</w:t>
            </w:r>
          </w:p>
          <w:p w14:paraId="371F4302">
            <w:pPr>
              <w:pStyle w:val="5"/>
              <w:spacing w:line="360" w:lineRule="auto"/>
              <w:rPr>
                <w:rFonts w:hint="eastAsia" w:ascii="仿宋" w:hAnsi="等线" w:eastAsia="仿宋" w:cs="仿宋"/>
                <w:color w:val="auto"/>
                <w:kern w:val="0"/>
                <w:sz w:val="24"/>
              </w:rPr>
            </w:pPr>
          </w:p>
          <w:p w14:paraId="7F8A0A13">
            <w:pPr>
              <w:spacing w:line="360" w:lineRule="auto"/>
              <w:rPr>
                <w:rFonts w:hint="eastAsia" w:ascii="仿宋" w:hAnsi="等线" w:eastAsia="仿宋" w:cs="仿宋"/>
                <w:color w:val="auto"/>
                <w:kern w:val="0"/>
                <w:sz w:val="24"/>
              </w:rPr>
            </w:pPr>
          </w:p>
          <w:p w14:paraId="4F159BF8">
            <w:pPr>
              <w:pStyle w:val="5"/>
              <w:spacing w:line="360" w:lineRule="auto"/>
              <w:rPr>
                <w:rFonts w:hint="eastAsia" w:ascii="仿宋" w:hAnsi="等线" w:eastAsia="仿宋" w:cs="仿宋"/>
                <w:color w:val="auto"/>
                <w:kern w:val="0"/>
                <w:sz w:val="24"/>
              </w:rPr>
            </w:pPr>
          </w:p>
          <w:p w14:paraId="499D2C22">
            <w:pPr>
              <w:spacing w:line="360" w:lineRule="auto"/>
              <w:rPr>
                <w:rFonts w:hint="eastAsia" w:ascii="仿宋" w:hAnsi="等线" w:eastAsia="仿宋" w:cs="仿宋"/>
                <w:color w:val="auto"/>
                <w:kern w:val="0"/>
                <w:sz w:val="24"/>
              </w:rPr>
            </w:pPr>
          </w:p>
          <w:p w14:paraId="696FCA4E">
            <w:pPr>
              <w:pStyle w:val="5"/>
              <w:spacing w:line="360" w:lineRule="auto"/>
              <w:rPr>
                <w:rFonts w:hint="eastAsia" w:ascii="仿宋" w:hAnsi="等线" w:eastAsia="仿宋" w:cs="仿宋"/>
                <w:color w:val="auto"/>
                <w:kern w:val="0"/>
                <w:sz w:val="24"/>
              </w:rPr>
            </w:pPr>
          </w:p>
          <w:p w14:paraId="66F6A3E7">
            <w:pPr>
              <w:spacing w:line="360" w:lineRule="auto"/>
              <w:rPr>
                <w:rFonts w:hint="eastAsia" w:ascii="仿宋" w:hAnsi="等线" w:eastAsia="仿宋" w:cs="仿宋"/>
                <w:color w:val="auto"/>
                <w:kern w:val="0"/>
                <w:sz w:val="24"/>
              </w:rPr>
            </w:pPr>
          </w:p>
          <w:p w14:paraId="75C602C1">
            <w:pPr>
              <w:pStyle w:val="5"/>
              <w:spacing w:line="360" w:lineRule="auto"/>
            </w:pPr>
          </w:p>
        </w:tc>
        <w:tc>
          <w:tcPr>
            <w:tcW w:w="4589" w:type="dxa"/>
            <w:noWrap w:val="0"/>
            <w:vAlign w:val="top"/>
          </w:tcPr>
          <w:p w14:paraId="609C2C4D">
            <w:pPr>
              <w:autoSpaceDE w:val="0"/>
              <w:autoSpaceDN w:val="0"/>
              <w:adjustRightInd w:val="0"/>
              <w:spacing w:line="360" w:lineRule="auto"/>
              <w:ind w:right="1920"/>
              <w:rPr>
                <w:rFonts w:ascii="仿宋" w:hAnsi="等线" w:eastAsia="仿宋" w:cs="仿宋"/>
                <w:color w:val="auto"/>
                <w:kern w:val="0"/>
                <w:sz w:val="24"/>
              </w:rPr>
            </w:pPr>
            <w:r>
              <w:rPr>
                <w:rFonts w:hint="eastAsia" w:ascii="仿宋" w:hAnsi="等线" w:eastAsia="仿宋" w:cs="仿宋"/>
                <w:color w:val="auto"/>
                <w:kern w:val="0"/>
                <w:sz w:val="24"/>
              </w:rPr>
              <w:t>授权委托人身份证复印件（正反面）</w:t>
            </w:r>
          </w:p>
        </w:tc>
      </w:tr>
    </w:tbl>
    <w:p w14:paraId="60D59929">
      <w:pPr>
        <w:spacing w:line="440" w:lineRule="exact"/>
        <w:jc w:val="right"/>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3062DA0C">
      <w:pPr>
        <w:autoSpaceDE w:val="0"/>
        <w:autoSpaceDN w:val="0"/>
        <w:spacing w:line="400" w:lineRule="exact"/>
        <w:jc w:val="center"/>
        <w:rPr>
          <w:rFonts w:hint="eastAsia" w:ascii="仿宋_GB2312" w:hAnsi="Arial" w:eastAsia="仿宋_GB2312"/>
          <w:color w:val="auto"/>
          <w:sz w:val="28"/>
          <w:szCs w:val="28"/>
          <w:lang w:val="zh-CN"/>
        </w:rPr>
        <w:sectPr>
          <w:headerReference r:id="rId3" w:type="first"/>
          <w:footerReference r:id="rId5" w:type="first"/>
          <w:footerReference r:id="rId4" w:type="default"/>
          <w:pgSz w:w="11906" w:h="16838"/>
          <w:pgMar w:top="1701" w:right="1418" w:bottom="1134" w:left="1418" w:header="851" w:footer="992" w:gutter="0"/>
          <w:pgNumType w:fmt="decimal" w:start="1"/>
          <w:cols w:space="720" w:num="1"/>
          <w:docGrid w:type="lines" w:linePitch="312" w:charSpace="0"/>
        </w:sectPr>
      </w:pPr>
    </w:p>
    <w:p w14:paraId="29EA26C7">
      <w:pPr>
        <w:autoSpaceDE w:val="0"/>
        <w:autoSpaceDN w:val="0"/>
        <w:spacing w:line="400" w:lineRule="exact"/>
        <w:jc w:val="center"/>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zh-CN"/>
        </w:rPr>
        <w:t>五、诚信承诺书</w:t>
      </w:r>
    </w:p>
    <w:p w14:paraId="2FD3E569">
      <w:pPr>
        <w:autoSpaceDE w:val="0"/>
        <w:autoSpaceDN w:val="0"/>
        <w:spacing w:line="360" w:lineRule="auto"/>
        <w:rPr>
          <w:rFonts w:hint="eastAsia" w:ascii="仿宋_GB2312" w:hAnsi="仿宋" w:eastAsia="仿宋_GB2312"/>
          <w:color w:val="auto"/>
          <w:sz w:val="24"/>
          <w:lang w:val="zh-CN"/>
        </w:rPr>
      </w:pPr>
      <w:r>
        <w:rPr>
          <w:rFonts w:hint="eastAsia" w:ascii="仿宋_GB2312" w:hAnsi="仿宋" w:eastAsia="仿宋_GB2312"/>
          <w:color w:val="auto"/>
          <w:sz w:val="24"/>
          <w:u w:val="single"/>
          <w:lang w:val="zh-CN"/>
        </w:rPr>
        <w:t xml:space="preserve">（采购人） </w:t>
      </w:r>
      <w:r>
        <w:rPr>
          <w:rFonts w:hint="eastAsia" w:ascii="仿宋_GB2312" w:hAnsi="仿宋" w:eastAsia="仿宋_GB2312"/>
          <w:color w:val="auto"/>
          <w:sz w:val="24"/>
          <w:lang w:val="zh-CN"/>
        </w:rPr>
        <w:t>：</w:t>
      </w:r>
    </w:p>
    <w:p w14:paraId="21AD6D8A">
      <w:pPr>
        <w:autoSpaceDE w:val="0"/>
        <w:autoSpaceDN w:val="0"/>
        <w:spacing w:line="360" w:lineRule="auto"/>
        <w:ind w:firstLine="480"/>
        <w:rPr>
          <w:rFonts w:hint="eastAsia" w:ascii="仿宋_GB2312" w:hAnsi="仿宋" w:eastAsia="仿宋_GB2312"/>
          <w:color w:val="auto"/>
          <w:sz w:val="24"/>
          <w:lang w:val="zh-CN"/>
        </w:rPr>
      </w:pPr>
      <w:r>
        <w:rPr>
          <w:rFonts w:hint="eastAsia" w:ascii="仿宋_GB2312" w:hAnsi="仿宋" w:eastAsia="仿宋_GB2312"/>
          <w:color w:val="auto"/>
          <w:sz w:val="24"/>
          <w:lang w:val="zh-CN"/>
        </w:rPr>
        <w:t>我公司</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（供应商名称）已详细阅读了</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项目（项目编号：</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）谈判文件，自愿参加本次</w:t>
      </w:r>
      <w:r>
        <w:rPr>
          <w:rFonts w:hint="eastAsia" w:ascii="仿宋_GB2312" w:hAnsi="仿宋" w:eastAsia="仿宋_GB2312"/>
          <w:color w:val="auto"/>
          <w:sz w:val="24"/>
          <w:lang w:val="en-US" w:eastAsia="zh-CN"/>
        </w:rPr>
        <w:t>招标</w:t>
      </w:r>
      <w:r>
        <w:rPr>
          <w:rFonts w:hint="eastAsia" w:ascii="仿宋_GB2312" w:hAnsi="仿宋" w:eastAsia="仿宋_GB2312"/>
          <w:color w:val="auto"/>
          <w:sz w:val="24"/>
          <w:lang w:val="zh-CN"/>
        </w:rPr>
        <w:t>，现就有关事项郑重承诺如下：</w:t>
      </w:r>
    </w:p>
    <w:p w14:paraId="227DCB3F">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规定条件。</w:t>
      </w:r>
    </w:p>
    <w:p w14:paraId="795BEB2F">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78EE5140">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三、不捏造事实或借用他人名义进行虚假、恶意质疑和投诉，不以质疑或投诉为名排挤竞争对手，干扰采购秩序。</w:t>
      </w:r>
    </w:p>
    <w:p w14:paraId="57FD0240">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四、若中标后，将按照规定及时与招标人签订采购合同，不与招标人订立有悖于招标结果的合同或协议；严格履行采购合同，不降低合同约定的产品质量及相关服务，不擅自变更、中止、终止合同，或者拒绝履行合同义务。</w:t>
      </w:r>
    </w:p>
    <w:p w14:paraId="6F836C49">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若有违反以上承诺内容的行为，我公司自愿接受取消投标资格、记入信用档案、媒体通报、1～3年内禁止参与</w:t>
      </w:r>
      <w:r>
        <w:rPr>
          <w:rFonts w:hint="eastAsia" w:ascii="仿宋_GB2312" w:hAnsi="仿宋" w:eastAsia="仿宋_GB2312"/>
          <w:color w:val="auto"/>
          <w:sz w:val="24"/>
          <w:lang w:val="en-US" w:eastAsia="zh-CN"/>
        </w:rPr>
        <w:t>重汽五岳</w:t>
      </w:r>
      <w:r>
        <w:rPr>
          <w:rFonts w:hint="eastAsia" w:ascii="仿宋_GB2312" w:hAnsi="仿宋" w:eastAsia="仿宋_GB2312"/>
          <w:color w:val="auto"/>
          <w:sz w:val="24"/>
          <w:lang w:val="zh-CN"/>
        </w:rPr>
        <w:t>采购活动等处罚；如已中标的，自动放弃中标资格，并承担全部法律责任；给招标人造成损失的，依法承担赔偿责任。</w:t>
      </w:r>
    </w:p>
    <w:p w14:paraId="69EA504F">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1381D4FA">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1159DF90">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1A50B4B5">
      <w:pPr>
        <w:autoSpaceDE w:val="0"/>
        <w:autoSpaceDN w:val="0"/>
        <w:spacing w:line="360" w:lineRule="auto"/>
        <w:jc w:val="center"/>
        <w:rPr>
          <w:rFonts w:hint="eastAsia" w:ascii="仿宋_GB2312" w:hAnsi="Arial" w:eastAsia="仿宋_GB2312"/>
          <w:color w:val="auto"/>
          <w:sz w:val="28"/>
          <w:szCs w:val="28"/>
          <w:lang w:val="en-US" w:eastAsia="zh-CN"/>
        </w:rPr>
        <w:sectPr>
          <w:footerReference r:id="rId6" w:type="default"/>
          <w:pgSz w:w="11906" w:h="16838"/>
          <w:pgMar w:top="1701" w:right="1418" w:bottom="1134" w:left="1418" w:header="851" w:footer="992" w:gutter="0"/>
          <w:pgNumType w:fmt="decimal" w:start="1"/>
          <w:cols w:space="720" w:num="1"/>
          <w:docGrid w:type="lines" w:linePitch="312" w:charSpace="0"/>
        </w:sectPr>
      </w:pPr>
    </w:p>
    <w:p w14:paraId="250FB4A3">
      <w:pPr>
        <w:autoSpaceDE w:val="0"/>
        <w:autoSpaceDN w:val="0"/>
        <w:spacing w:line="360" w:lineRule="auto"/>
        <w:jc w:val="center"/>
        <w:rPr>
          <w:rFonts w:ascii="黑体" w:hAnsi="Arial" w:eastAsia="黑体"/>
          <w:color w:val="auto"/>
          <w:sz w:val="30"/>
          <w:szCs w:val="30"/>
          <w:lang w:val="zh-CN"/>
        </w:rPr>
      </w:pPr>
      <w:r>
        <w:rPr>
          <w:rFonts w:hint="eastAsia" w:ascii="仿宋_GB2312" w:hAnsi="Arial" w:eastAsia="仿宋_GB2312"/>
          <w:color w:val="auto"/>
          <w:sz w:val="28"/>
          <w:szCs w:val="28"/>
          <w:lang w:val="en-US" w:eastAsia="zh-CN"/>
        </w:rPr>
        <w:t>六</w:t>
      </w:r>
      <w:r>
        <w:rPr>
          <w:rFonts w:hint="eastAsia" w:ascii="仿宋_GB2312" w:hAnsi="Arial" w:eastAsia="仿宋_GB2312"/>
          <w:color w:val="auto"/>
          <w:sz w:val="28"/>
          <w:szCs w:val="28"/>
          <w:lang w:val="zh-CN"/>
        </w:rPr>
        <w:t>、</w:t>
      </w:r>
      <w:r>
        <w:rPr>
          <w:rFonts w:ascii="仿宋_GB2312" w:hAnsi="Arial" w:eastAsia="仿宋_GB2312"/>
          <w:color w:val="auto"/>
          <w:sz w:val="28"/>
          <w:szCs w:val="28"/>
          <w:lang w:val="zh-CN"/>
        </w:rPr>
        <w:t>项目主要实施人员技术资格一览表</w:t>
      </w:r>
    </w:p>
    <w:p w14:paraId="364A85F6">
      <w:pPr>
        <w:autoSpaceDE w:val="0"/>
        <w:autoSpaceDN w:val="0"/>
        <w:spacing w:after="240"/>
        <w:ind w:firstLine="120" w:firstLineChars="50"/>
        <w:rPr>
          <w:rFonts w:ascii="仿宋_GB2312" w:hAnsi="仿宋" w:eastAsia="仿宋_GB2312"/>
          <w:color w:val="auto"/>
          <w:sz w:val="24"/>
          <w:szCs w:val="20"/>
          <w:lang w:val="zh-CN"/>
        </w:rPr>
      </w:pPr>
      <w:r>
        <w:rPr>
          <w:rFonts w:ascii="仿宋_GB2312" w:hAnsi="仿宋" w:eastAsia="仿宋_GB2312"/>
          <w:color w:val="auto"/>
          <w:sz w:val="24"/>
          <w:szCs w:val="20"/>
          <w:lang w:val="zh-CN"/>
        </w:rPr>
        <w:t>项目名称：</w:t>
      </w:r>
      <w:r>
        <w:rPr>
          <w:rFonts w:ascii="仿宋_GB2312" w:hAnsi="仿宋" w:eastAsia="仿宋_GB2312"/>
          <w:color w:val="auto"/>
          <w:sz w:val="24"/>
          <w:szCs w:val="20"/>
          <w:u w:val="single"/>
          <w:lang w:val="zh-CN"/>
        </w:rPr>
        <w:t xml:space="preserve">                              </w:t>
      </w:r>
      <w:r>
        <w:rPr>
          <w:rFonts w:ascii="仿宋_GB2312" w:hAnsi="仿宋" w:eastAsia="仿宋_GB2312"/>
          <w:color w:val="auto"/>
          <w:sz w:val="24"/>
          <w:szCs w:val="20"/>
          <w:lang w:val="zh-CN"/>
        </w:rPr>
        <w:t xml:space="preserve"> </w:t>
      </w:r>
    </w:p>
    <w:tbl>
      <w:tblPr>
        <w:tblStyle w:val="21"/>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6F45066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0989943C">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6DE548ED">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447B9C5F">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22C1390">
            <w:pPr>
              <w:autoSpaceDE w:val="0"/>
              <w:autoSpaceDN w:val="0"/>
              <w:adjustRightInd w:val="0"/>
              <w:snapToGrid w:val="0"/>
              <w:jc w:val="center"/>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28E72E3D">
            <w:pPr>
              <w:autoSpaceDE w:val="0"/>
              <w:autoSpaceDN w:val="0"/>
              <w:adjustRightInd w:val="0"/>
              <w:snapToGrid w:val="0"/>
              <w:jc w:val="center"/>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7D509F2">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备注</w:t>
            </w:r>
          </w:p>
        </w:tc>
      </w:tr>
      <w:tr w14:paraId="23CA1441">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A76E636">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C1C532B">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45842252">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080D90F">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665A49">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64BFF59">
            <w:pPr>
              <w:autoSpaceDE w:val="0"/>
              <w:autoSpaceDN w:val="0"/>
              <w:adjustRightInd w:val="0"/>
              <w:snapToGrid w:val="0"/>
              <w:rPr>
                <w:rFonts w:ascii="仿宋_GB2312" w:hAnsi="仿宋" w:eastAsia="仿宋_GB2312"/>
                <w:color w:val="auto"/>
                <w:sz w:val="24"/>
                <w:szCs w:val="20"/>
                <w:lang w:val="zh-CN"/>
              </w:rPr>
            </w:pPr>
          </w:p>
        </w:tc>
      </w:tr>
      <w:tr w14:paraId="2C84F99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2BB9FD8">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9132BBF">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141B368">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2F888CD">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6E277B2">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4F419D2">
            <w:pPr>
              <w:autoSpaceDE w:val="0"/>
              <w:autoSpaceDN w:val="0"/>
              <w:adjustRightInd w:val="0"/>
              <w:snapToGrid w:val="0"/>
              <w:rPr>
                <w:rFonts w:ascii="仿宋_GB2312" w:hAnsi="仿宋" w:eastAsia="仿宋_GB2312"/>
                <w:color w:val="auto"/>
                <w:sz w:val="24"/>
                <w:szCs w:val="20"/>
                <w:lang w:val="zh-CN"/>
              </w:rPr>
            </w:pPr>
          </w:p>
        </w:tc>
      </w:tr>
      <w:tr w14:paraId="4ABF14A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C5DBB35">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215A5E0">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1465266">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156009C">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EFA8D7">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B0150E0">
            <w:pPr>
              <w:autoSpaceDE w:val="0"/>
              <w:autoSpaceDN w:val="0"/>
              <w:adjustRightInd w:val="0"/>
              <w:snapToGrid w:val="0"/>
              <w:rPr>
                <w:rFonts w:ascii="仿宋_GB2312" w:hAnsi="仿宋" w:eastAsia="仿宋_GB2312"/>
                <w:color w:val="auto"/>
                <w:sz w:val="24"/>
                <w:szCs w:val="20"/>
                <w:lang w:val="zh-CN"/>
              </w:rPr>
            </w:pPr>
          </w:p>
        </w:tc>
      </w:tr>
      <w:tr w14:paraId="0CDC1E10">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A7D11A2">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E0C0650">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94FF135">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B646B23">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7C2C1C4">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B9F2977">
            <w:pPr>
              <w:autoSpaceDE w:val="0"/>
              <w:autoSpaceDN w:val="0"/>
              <w:adjustRightInd w:val="0"/>
              <w:snapToGrid w:val="0"/>
              <w:rPr>
                <w:rFonts w:ascii="仿宋_GB2312" w:hAnsi="仿宋" w:eastAsia="仿宋_GB2312"/>
                <w:color w:val="auto"/>
                <w:sz w:val="24"/>
                <w:szCs w:val="20"/>
                <w:lang w:val="zh-CN"/>
              </w:rPr>
            </w:pPr>
          </w:p>
        </w:tc>
      </w:tr>
      <w:tr w14:paraId="3B538499">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BE544E6">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0F06319">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FAFFEC1">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4AB179F">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14425AD">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95AE8C1">
            <w:pPr>
              <w:autoSpaceDE w:val="0"/>
              <w:autoSpaceDN w:val="0"/>
              <w:adjustRightInd w:val="0"/>
              <w:snapToGrid w:val="0"/>
              <w:rPr>
                <w:rFonts w:ascii="仿宋_GB2312" w:hAnsi="仿宋" w:eastAsia="仿宋_GB2312"/>
                <w:color w:val="auto"/>
                <w:sz w:val="24"/>
                <w:szCs w:val="20"/>
                <w:lang w:val="zh-CN"/>
              </w:rPr>
            </w:pPr>
          </w:p>
        </w:tc>
      </w:tr>
      <w:tr w14:paraId="5EF45A9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9FE4BA3">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7B6B1ED">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174B040D">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A2D770C">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70FCBB">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6F9F5C0">
            <w:pPr>
              <w:autoSpaceDE w:val="0"/>
              <w:autoSpaceDN w:val="0"/>
              <w:adjustRightInd w:val="0"/>
              <w:snapToGrid w:val="0"/>
              <w:rPr>
                <w:rFonts w:ascii="仿宋_GB2312" w:hAnsi="仿宋" w:eastAsia="仿宋_GB2312"/>
                <w:color w:val="auto"/>
                <w:sz w:val="24"/>
                <w:szCs w:val="20"/>
                <w:lang w:val="zh-CN"/>
              </w:rPr>
            </w:pPr>
          </w:p>
        </w:tc>
      </w:tr>
      <w:tr w14:paraId="7330E9E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9E09DE5">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2511710">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E10B8B3">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57D3760E">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1FBC55">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9AEF8EE">
            <w:pPr>
              <w:autoSpaceDE w:val="0"/>
              <w:autoSpaceDN w:val="0"/>
              <w:adjustRightInd w:val="0"/>
              <w:snapToGrid w:val="0"/>
              <w:rPr>
                <w:rFonts w:ascii="仿宋_GB2312" w:hAnsi="仿宋" w:eastAsia="仿宋_GB2312"/>
                <w:color w:val="auto"/>
                <w:sz w:val="24"/>
                <w:szCs w:val="20"/>
                <w:lang w:val="zh-CN"/>
              </w:rPr>
            </w:pPr>
          </w:p>
        </w:tc>
      </w:tr>
      <w:tr w14:paraId="192CC57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6C7327A">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A3853F8">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1742C88B">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70CEF7F">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2429AF">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061D8A0">
            <w:pPr>
              <w:autoSpaceDE w:val="0"/>
              <w:autoSpaceDN w:val="0"/>
              <w:adjustRightInd w:val="0"/>
              <w:snapToGrid w:val="0"/>
              <w:rPr>
                <w:rFonts w:ascii="仿宋_GB2312" w:hAnsi="仿宋" w:eastAsia="仿宋_GB2312"/>
                <w:color w:val="auto"/>
                <w:sz w:val="24"/>
                <w:szCs w:val="20"/>
                <w:lang w:val="zh-CN"/>
              </w:rPr>
            </w:pPr>
          </w:p>
        </w:tc>
      </w:tr>
      <w:tr w14:paraId="435537C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58E4A87">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DFF6E89">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5BA62A7F">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F2C018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91BBE73">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9CA77BD">
            <w:pPr>
              <w:autoSpaceDE w:val="0"/>
              <w:autoSpaceDN w:val="0"/>
              <w:adjustRightInd w:val="0"/>
              <w:snapToGrid w:val="0"/>
              <w:rPr>
                <w:rFonts w:ascii="仿宋_GB2312" w:hAnsi="仿宋" w:eastAsia="仿宋_GB2312"/>
                <w:color w:val="auto"/>
                <w:sz w:val="24"/>
                <w:szCs w:val="20"/>
                <w:lang w:val="zh-CN"/>
              </w:rPr>
            </w:pPr>
          </w:p>
        </w:tc>
      </w:tr>
    </w:tbl>
    <w:p w14:paraId="3FA2B15B">
      <w:pPr>
        <w:autoSpaceDE w:val="0"/>
        <w:autoSpaceDN w:val="0"/>
        <w:adjustRightInd w:val="0"/>
        <w:snapToGrid w:val="0"/>
        <w:spacing w:line="360" w:lineRule="auto"/>
        <w:rPr>
          <w:rFonts w:ascii="仿宋_GB2312" w:hAnsi="仿宋" w:eastAsia="仿宋_GB2312"/>
          <w:b/>
          <w:color w:val="auto"/>
          <w:sz w:val="24"/>
          <w:szCs w:val="20"/>
          <w:lang w:val="zh-CN"/>
        </w:rPr>
      </w:pPr>
      <w:r>
        <w:rPr>
          <w:rFonts w:ascii="仿宋_GB2312" w:hAnsi="仿宋" w:eastAsia="仿宋_GB2312"/>
          <w:b/>
          <w:color w:val="auto"/>
          <w:sz w:val="24"/>
          <w:szCs w:val="20"/>
          <w:lang w:val="zh-CN"/>
        </w:rPr>
        <w:t>注：</w:t>
      </w:r>
      <w:r>
        <w:rPr>
          <w:rFonts w:hint="eastAsia" w:ascii="仿宋_GB2312" w:hAnsi="仿宋" w:eastAsia="仿宋_GB2312"/>
          <w:b/>
          <w:color w:val="auto"/>
          <w:sz w:val="24"/>
          <w:szCs w:val="20"/>
          <w:lang w:val="zh-CN"/>
        </w:rPr>
        <w:t>将以上</w:t>
      </w:r>
      <w:r>
        <w:rPr>
          <w:rFonts w:ascii="仿宋_GB2312" w:hAnsi="仿宋" w:eastAsia="仿宋_GB2312"/>
          <w:b/>
          <w:color w:val="auto"/>
          <w:sz w:val="24"/>
          <w:szCs w:val="20"/>
          <w:lang w:val="zh-CN"/>
        </w:rPr>
        <w:t>人员的</w:t>
      </w:r>
      <w:r>
        <w:rPr>
          <w:rFonts w:hint="eastAsia" w:ascii="仿宋_GB2312" w:hAnsi="仿宋" w:eastAsia="仿宋_GB2312"/>
          <w:b/>
          <w:color w:val="auto"/>
          <w:sz w:val="24"/>
          <w:szCs w:val="20"/>
          <w:lang w:val="zh-CN"/>
        </w:rPr>
        <w:t>相关证书</w:t>
      </w:r>
      <w:r>
        <w:rPr>
          <w:rFonts w:ascii="仿宋_GB2312" w:hAnsi="仿宋" w:eastAsia="仿宋_GB2312"/>
          <w:b/>
          <w:color w:val="auto"/>
          <w:sz w:val="24"/>
          <w:szCs w:val="20"/>
          <w:lang w:val="zh-CN"/>
        </w:rPr>
        <w:t>复印件制作于</w:t>
      </w:r>
      <w:r>
        <w:rPr>
          <w:rFonts w:hint="eastAsia" w:ascii="仿宋_GB2312" w:hAnsi="仿宋" w:eastAsia="仿宋_GB2312"/>
          <w:b/>
          <w:color w:val="auto"/>
          <w:sz w:val="24"/>
          <w:szCs w:val="20"/>
          <w:lang w:val="zh-CN"/>
        </w:rPr>
        <w:t>响应</w:t>
      </w:r>
      <w:r>
        <w:rPr>
          <w:rFonts w:ascii="仿宋_GB2312" w:hAnsi="仿宋" w:eastAsia="仿宋_GB2312"/>
          <w:b/>
          <w:color w:val="auto"/>
          <w:sz w:val="24"/>
          <w:szCs w:val="20"/>
          <w:lang w:val="zh-CN"/>
        </w:rPr>
        <w:t>文件中</w:t>
      </w:r>
      <w:r>
        <w:rPr>
          <w:rFonts w:hint="eastAsia" w:ascii="仿宋_GB2312" w:hAnsi="仿宋" w:eastAsia="仿宋_GB2312"/>
          <w:b/>
          <w:color w:val="auto"/>
          <w:sz w:val="24"/>
          <w:szCs w:val="20"/>
          <w:lang w:val="zh-CN"/>
        </w:rPr>
        <w:t>（若有）</w:t>
      </w:r>
    </w:p>
    <w:p w14:paraId="6512D0FB">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w:t>
      </w:r>
    </w:p>
    <w:p w14:paraId="3239D8E4">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173DE94A">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3B259810">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49440B7B">
      <w:pPr>
        <w:autoSpaceDE w:val="0"/>
        <w:autoSpaceDN w:val="0"/>
        <w:spacing w:line="400" w:lineRule="exact"/>
        <w:jc w:val="center"/>
        <w:rPr>
          <w:rFonts w:ascii="仿宋_GB2312" w:hAnsi="Arial" w:eastAsia="仿宋_GB2312"/>
          <w:color w:val="auto"/>
          <w:sz w:val="28"/>
          <w:szCs w:val="28"/>
          <w:lang w:val="zh-CN"/>
        </w:rPr>
      </w:pPr>
      <w:r>
        <w:rPr>
          <w:rFonts w:ascii="仿宋_GB2312" w:hAnsi="Arial" w:eastAsia="仿宋_GB2312"/>
          <w:color w:val="auto"/>
          <w:sz w:val="28"/>
          <w:szCs w:val="28"/>
          <w:lang w:val="zh-CN"/>
        </w:rPr>
        <w:br w:type="page"/>
      </w:r>
    </w:p>
    <w:p w14:paraId="4F4706A3">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七</w:t>
      </w:r>
      <w:r>
        <w:rPr>
          <w:rFonts w:ascii="仿宋_GB2312" w:hAnsi="Arial" w:eastAsia="仿宋_GB2312"/>
          <w:color w:val="auto"/>
          <w:sz w:val="28"/>
          <w:szCs w:val="28"/>
          <w:lang w:val="zh-CN"/>
        </w:rPr>
        <w:t>、技术文件</w:t>
      </w:r>
    </w:p>
    <w:p w14:paraId="22B8AE5C">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zh-CN"/>
        </w:rPr>
        <w:t>（供应商根据相关规范、标准，结合项目特点编制满足实际需求的技术方案，格式自拟）</w:t>
      </w:r>
    </w:p>
    <w:p w14:paraId="2E0B4880">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八</w:t>
      </w:r>
      <w:r>
        <w:rPr>
          <w:rFonts w:hint="eastAsia" w:ascii="仿宋_GB2312" w:hAnsi="Arial" w:eastAsia="仿宋_GB2312"/>
          <w:color w:val="auto"/>
          <w:sz w:val="28"/>
          <w:szCs w:val="28"/>
          <w:lang w:val="zh-CN"/>
        </w:rPr>
        <w:t>、商务文件</w:t>
      </w:r>
    </w:p>
    <w:p w14:paraId="20F51AF8">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（1）投标人情况介绍；</w:t>
      </w:r>
    </w:p>
    <w:p w14:paraId="23460FBA">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（2）提供符合要求的营业执照复印件；</w:t>
      </w:r>
    </w:p>
    <w:p w14:paraId="1ABD6A7E">
      <w:pPr>
        <w:autoSpaceDE w:val="0"/>
        <w:autoSpaceDN w:val="0"/>
        <w:spacing w:line="640" w:lineRule="exact"/>
        <w:ind w:firstLine="480" w:firstLineChars="200"/>
        <w:rPr>
          <w:rFonts w:hint="eastAsia" w:ascii="仿宋_GB2312" w:hAnsi="仿宋" w:eastAsia="仿宋_GB2312"/>
          <w:color w:val="auto"/>
          <w:sz w:val="24"/>
          <w:lang w:val="zh-CN"/>
        </w:rPr>
      </w:pPr>
      <w:r>
        <w:rPr>
          <w:rFonts w:ascii="仿宋_GB2312" w:hAnsi="仿宋" w:eastAsia="仿宋_GB2312"/>
          <w:color w:val="auto"/>
          <w:sz w:val="24"/>
          <w:lang w:val="zh-CN"/>
        </w:rPr>
        <w:t>（3）</w:t>
      </w:r>
      <w:r>
        <w:rPr>
          <w:rFonts w:hint="eastAsia" w:ascii="仿宋_GB2312" w:hAnsi="仿宋" w:eastAsia="仿宋_GB2312"/>
          <w:color w:val="auto"/>
          <w:sz w:val="24"/>
          <w:lang w:val="en-US" w:eastAsia="zh-CN"/>
        </w:rPr>
        <w:t>招标</w:t>
      </w:r>
      <w:r>
        <w:rPr>
          <w:rFonts w:ascii="仿宋_GB2312" w:hAnsi="仿宋" w:eastAsia="仿宋_GB2312"/>
          <w:color w:val="auto"/>
          <w:sz w:val="24"/>
          <w:lang w:val="zh-CN"/>
        </w:rPr>
        <w:t>文件其它规定或者供应商认为应介绍或者提交的资料、文件和说明。</w:t>
      </w:r>
    </w:p>
    <w:p w14:paraId="3AEB4D79">
      <w:pPr>
        <w:pStyle w:val="30"/>
        <w:rPr>
          <w:rFonts w:ascii="黑体" w:eastAsia="黑体"/>
          <w:b/>
          <w:bCs/>
          <w:sz w:val="36"/>
          <w:szCs w:val="36"/>
        </w:rPr>
      </w:pPr>
    </w:p>
    <w:p w14:paraId="366B2428">
      <w:pPr>
        <w:bidi w:val="0"/>
      </w:pPr>
    </w:p>
    <w:p w14:paraId="395522DA">
      <w:pPr>
        <w:bidi w:val="0"/>
      </w:pPr>
    </w:p>
    <w:p w14:paraId="5ED6F9C8">
      <w:pPr>
        <w:bidi w:val="0"/>
      </w:pPr>
    </w:p>
    <w:p w14:paraId="12F876F0">
      <w:pPr>
        <w:bidi w:val="0"/>
      </w:pPr>
    </w:p>
    <w:p w14:paraId="065F2D02">
      <w:pPr>
        <w:bidi w:val="0"/>
      </w:pPr>
    </w:p>
    <w:p w14:paraId="346D52FB">
      <w:pPr>
        <w:bidi w:val="0"/>
      </w:pPr>
    </w:p>
    <w:p w14:paraId="43C1CE18">
      <w:pPr>
        <w:bidi w:val="0"/>
      </w:pPr>
    </w:p>
    <w:p w14:paraId="6C1076A0">
      <w:pPr>
        <w:bidi w:val="0"/>
      </w:pPr>
    </w:p>
    <w:p w14:paraId="7A0439B3">
      <w:pPr>
        <w:bidi w:val="0"/>
      </w:pPr>
    </w:p>
    <w:p w14:paraId="5A4BB0D4">
      <w:pPr>
        <w:bidi w:val="0"/>
      </w:pPr>
    </w:p>
    <w:p w14:paraId="7BC0D91C">
      <w:pPr>
        <w:bidi w:val="0"/>
      </w:pPr>
    </w:p>
    <w:p w14:paraId="51D4E934">
      <w:pPr>
        <w:bidi w:val="0"/>
      </w:pPr>
    </w:p>
    <w:p w14:paraId="74208BA3">
      <w:pPr>
        <w:bidi w:val="0"/>
      </w:pPr>
    </w:p>
    <w:p w14:paraId="3C846310">
      <w:pPr>
        <w:bidi w:val="0"/>
      </w:pPr>
    </w:p>
    <w:p w14:paraId="062D4A3E">
      <w:pPr>
        <w:bidi w:val="0"/>
      </w:pPr>
    </w:p>
    <w:p w14:paraId="416B9960">
      <w:pPr>
        <w:bidi w:val="0"/>
      </w:pPr>
    </w:p>
    <w:p w14:paraId="0CD28480">
      <w:pPr>
        <w:bidi w:val="0"/>
      </w:pPr>
    </w:p>
    <w:p w14:paraId="789B4677">
      <w:pPr>
        <w:bidi w:val="0"/>
      </w:pPr>
    </w:p>
    <w:p w14:paraId="130288B3">
      <w:pPr>
        <w:bidi w:val="0"/>
      </w:pPr>
    </w:p>
    <w:p w14:paraId="3555AF61">
      <w:pPr>
        <w:bidi w:val="0"/>
      </w:pPr>
    </w:p>
    <w:p w14:paraId="2A1D4218">
      <w:pPr>
        <w:bidi w:val="0"/>
      </w:pPr>
    </w:p>
    <w:p w14:paraId="51AC5103">
      <w:pPr>
        <w:bidi w:val="0"/>
      </w:pPr>
    </w:p>
    <w:p w14:paraId="4B7D8254">
      <w:pPr>
        <w:bidi w:val="0"/>
        <w:jc w:val="center"/>
      </w:pPr>
    </w:p>
    <w:sectPr>
      <w:footerReference r:id="rId7" w:type="default"/>
      <w:pgSz w:w="11906" w:h="16838"/>
      <w:pgMar w:top="1701" w:right="1418"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7D1B">
    <w:pPr>
      <w:pStyle w:val="14"/>
      <w:ind w:firstLine="3780" w:firstLineChars="2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B6A6">
    <w:pPr>
      <w:pStyle w:val="14"/>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87C74">
    <w:pPr>
      <w:pStyle w:val="14"/>
      <w:ind w:firstLine="3780" w:firstLineChars="2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3E4E6">
    <w:pPr>
      <w:pStyle w:val="14"/>
      <w:ind w:firstLine="3780" w:firstLineChars="2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03CED">
    <w:pPr>
      <w:pStyle w:val="15"/>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2NmYjg3MWNkMTFhNDk5NjI2YTgzN2JiY2NmZGU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B46289"/>
    <w:rsid w:val="01DE0616"/>
    <w:rsid w:val="02A56416"/>
    <w:rsid w:val="039337BE"/>
    <w:rsid w:val="03CD1F61"/>
    <w:rsid w:val="05D507E0"/>
    <w:rsid w:val="09442803"/>
    <w:rsid w:val="09886487"/>
    <w:rsid w:val="0B0F75B1"/>
    <w:rsid w:val="0B1D7922"/>
    <w:rsid w:val="0B623E12"/>
    <w:rsid w:val="0B6810EB"/>
    <w:rsid w:val="0C092B33"/>
    <w:rsid w:val="0C7E6D9B"/>
    <w:rsid w:val="0CA446C3"/>
    <w:rsid w:val="0CB5092B"/>
    <w:rsid w:val="0CCD48BE"/>
    <w:rsid w:val="0DED1D03"/>
    <w:rsid w:val="0E476CCE"/>
    <w:rsid w:val="111F6909"/>
    <w:rsid w:val="11F50B3F"/>
    <w:rsid w:val="12A10CC7"/>
    <w:rsid w:val="12E94D5A"/>
    <w:rsid w:val="1309795C"/>
    <w:rsid w:val="140D3CA4"/>
    <w:rsid w:val="14700951"/>
    <w:rsid w:val="14EB1A83"/>
    <w:rsid w:val="1549721B"/>
    <w:rsid w:val="17964416"/>
    <w:rsid w:val="17985817"/>
    <w:rsid w:val="17BD56E0"/>
    <w:rsid w:val="18EA08C7"/>
    <w:rsid w:val="1A850459"/>
    <w:rsid w:val="1B705779"/>
    <w:rsid w:val="1BAF7DC1"/>
    <w:rsid w:val="1CF00880"/>
    <w:rsid w:val="1CF66F41"/>
    <w:rsid w:val="1E0F11DA"/>
    <w:rsid w:val="1F137DC6"/>
    <w:rsid w:val="21385A19"/>
    <w:rsid w:val="215F4227"/>
    <w:rsid w:val="218538C2"/>
    <w:rsid w:val="21EC706F"/>
    <w:rsid w:val="220D6453"/>
    <w:rsid w:val="222E220C"/>
    <w:rsid w:val="23DF076E"/>
    <w:rsid w:val="24B05ACD"/>
    <w:rsid w:val="25F20E90"/>
    <w:rsid w:val="262F32F6"/>
    <w:rsid w:val="265C6807"/>
    <w:rsid w:val="27703E52"/>
    <w:rsid w:val="27F34BCD"/>
    <w:rsid w:val="281D7C91"/>
    <w:rsid w:val="293C0D44"/>
    <w:rsid w:val="294A57BC"/>
    <w:rsid w:val="2C010B73"/>
    <w:rsid w:val="2C73502A"/>
    <w:rsid w:val="2CDE6947"/>
    <w:rsid w:val="2DB43204"/>
    <w:rsid w:val="2E827F4E"/>
    <w:rsid w:val="2EE054F5"/>
    <w:rsid w:val="3059466F"/>
    <w:rsid w:val="32985FCF"/>
    <w:rsid w:val="32A10788"/>
    <w:rsid w:val="336B131D"/>
    <w:rsid w:val="362A37C6"/>
    <w:rsid w:val="366F6862"/>
    <w:rsid w:val="36D018E0"/>
    <w:rsid w:val="38E43142"/>
    <w:rsid w:val="39425C56"/>
    <w:rsid w:val="39756146"/>
    <w:rsid w:val="3B1047D6"/>
    <w:rsid w:val="3CC571DC"/>
    <w:rsid w:val="3CDF2A7F"/>
    <w:rsid w:val="3D1C0BDC"/>
    <w:rsid w:val="3D970065"/>
    <w:rsid w:val="3E9E5F37"/>
    <w:rsid w:val="3ED77D2A"/>
    <w:rsid w:val="3FAD7704"/>
    <w:rsid w:val="405B6AA2"/>
    <w:rsid w:val="425F1CED"/>
    <w:rsid w:val="42736986"/>
    <w:rsid w:val="438F7125"/>
    <w:rsid w:val="43C7446D"/>
    <w:rsid w:val="43F263DD"/>
    <w:rsid w:val="43FD54AD"/>
    <w:rsid w:val="444A5520"/>
    <w:rsid w:val="45170B91"/>
    <w:rsid w:val="47411B55"/>
    <w:rsid w:val="48296DEC"/>
    <w:rsid w:val="48A510DA"/>
    <w:rsid w:val="48F51190"/>
    <w:rsid w:val="49C24A8D"/>
    <w:rsid w:val="49F7299F"/>
    <w:rsid w:val="4A5751EC"/>
    <w:rsid w:val="4A80122A"/>
    <w:rsid w:val="4AE72B13"/>
    <w:rsid w:val="4BE43287"/>
    <w:rsid w:val="4C707352"/>
    <w:rsid w:val="4CAF7561"/>
    <w:rsid w:val="4E485D4B"/>
    <w:rsid w:val="4E5A094C"/>
    <w:rsid w:val="4E5F1890"/>
    <w:rsid w:val="51EB3EF3"/>
    <w:rsid w:val="53047386"/>
    <w:rsid w:val="53546374"/>
    <w:rsid w:val="53B94EC2"/>
    <w:rsid w:val="54900D9E"/>
    <w:rsid w:val="54A333CF"/>
    <w:rsid w:val="54B04758"/>
    <w:rsid w:val="55766291"/>
    <w:rsid w:val="57BD5228"/>
    <w:rsid w:val="59A554BF"/>
    <w:rsid w:val="5A4A4BAF"/>
    <w:rsid w:val="5B221005"/>
    <w:rsid w:val="5B7C4EE5"/>
    <w:rsid w:val="5DCA053C"/>
    <w:rsid w:val="5E755D98"/>
    <w:rsid w:val="5F0624D6"/>
    <w:rsid w:val="5FAA1A57"/>
    <w:rsid w:val="60530FD9"/>
    <w:rsid w:val="606766A0"/>
    <w:rsid w:val="6092195C"/>
    <w:rsid w:val="614D420E"/>
    <w:rsid w:val="616B7AA3"/>
    <w:rsid w:val="63FC3EEE"/>
    <w:rsid w:val="64233D3B"/>
    <w:rsid w:val="646E2741"/>
    <w:rsid w:val="64872D78"/>
    <w:rsid w:val="64A36C4B"/>
    <w:rsid w:val="64C1788A"/>
    <w:rsid w:val="65010418"/>
    <w:rsid w:val="65750BD1"/>
    <w:rsid w:val="67146970"/>
    <w:rsid w:val="67C577E1"/>
    <w:rsid w:val="68D6572A"/>
    <w:rsid w:val="6971147A"/>
    <w:rsid w:val="699A7177"/>
    <w:rsid w:val="69F94D5D"/>
    <w:rsid w:val="6A75678E"/>
    <w:rsid w:val="6BCB2E36"/>
    <w:rsid w:val="6DA700B4"/>
    <w:rsid w:val="6E263522"/>
    <w:rsid w:val="6F3A7AA1"/>
    <w:rsid w:val="6F3C65DA"/>
    <w:rsid w:val="72D028D8"/>
    <w:rsid w:val="73702731"/>
    <w:rsid w:val="74013B81"/>
    <w:rsid w:val="74892878"/>
    <w:rsid w:val="75471A14"/>
    <w:rsid w:val="77BF5070"/>
    <w:rsid w:val="7A15284A"/>
    <w:rsid w:val="7B3F33A4"/>
    <w:rsid w:val="7B9D1938"/>
    <w:rsid w:val="7C4411C4"/>
    <w:rsid w:val="7E66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qFormat/>
    <w:uiPriority w:val="9"/>
    <w:pPr>
      <w:keepNext/>
      <w:keepLines/>
      <w:spacing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toa heading"/>
    <w:basedOn w:val="1"/>
    <w:next w:val="1"/>
    <w:qFormat/>
    <w:uiPriority w:val="0"/>
    <w:pPr>
      <w:spacing w:before="120"/>
    </w:pPr>
    <w:rPr>
      <w:rFonts w:ascii="Arial" w:hAnsi="Arial" w:cs="Arial"/>
      <w:sz w:val="24"/>
      <w:szCs w:val="24"/>
    </w:rPr>
  </w:style>
  <w:style w:type="paragraph" w:styleId="8">
    <w:name w:val="annotation text"/>
    <w:basedOn w:val="1"/>
    <w:link w:val="37"/>
    <w:qFormat/>
    <w:uiPriority w:val="0"/>
    <w:pPr>
      <w:jc w:val="left"/>
    </w:pPr>
  </w:style>
  <w:style w:type="paragraph" w:styleId="9">
    <w:name w:val="Body Text"/>
    <w:basedOn w:val="1"/>
    <w:link w:val="33"/>
    <w:qFormat/>
    <w:uiPriority w:val="0"/>
    <w:rPr>
      <w:rFonts w:ascii="仿宋_GB2312" w:eastAsia="仿宋_GB2312"/>
      <w:sz w:val="32"/>
    </w:rPr>
  </w:style>
  <w:style w:type="paragraph" w:styleId="10">
    <w:name w:val="Body Text Indent"/>
    <w:basedOn w:val="1"/>
    <w:link w:val="40"/>
    <w:unhideWhenUsed/>
    <w:qFormat/>
    <w:uiPriority w:val="99"/>
    <w:pPr>
      <w:spacing w:after="120"/>
      <w:ind w:left="420" w:leftChars="200"/>
    </w:pPr>
    <w:rPr>
      <w:rFonts w:ascii="Calibri" w:hAnsi="Calibri"/>
      <w:szCs w:val="22"/>
    </w:rPr>
  </w:style>
  <w:style w:type="paragraph" w:styleId="11">
    <w:name w:val="Plain Text"/>
    <w:basedOn w:val="1"/>
    <w:link w:val="42"/>
    <w:qFormat/>
    <w:uiPriority w:val="0"/>
    <w:rPr>
      <w:rFonts w:ascii="宋体" w:hAnsi="Courier New"/>
    </w:rPr>
  </w:style>
  <w:style w:type="paragraph" w:styleId="12">
    <w:name w:val="Date"/>
    <w:basedOn w:val="1"/>
    <w:next w:val="1"/>
    <w:qFormat/>
    <w:uiPriority w:val="0"/>
    <w:pPr>
      <w:ind w:left="100" w:leftChars="2500"/>
    </w:pPr>
    <w:rPr>
      <w:kern w:val="0"/>
    </w:rPr>
  </w:style>
  <w:style w:type="paragraph" w:styleId="13">
    <w:name w:val="Balloon Text"/>
    <w:basedOn w:val="1"/>
    <w:link w:val="39"/>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toc 2"/>
    <w:basedOn w:val="1"/>
    <w:next w:val="1"/>
    <w:unhideWhenUsed/>
    <w:qFormat/>
    <w:uiPriority w:val="39"/>
    <w:pPr>
      <w:ind w:left="420" w:leftChars="200"/>
    </w:pPr>
  </w:style>
  <w:style w:type="paragraph" w:styleId="18">
    <w:name w:val="Normal (Web)"/>
    <w:basedOn w:val="1"/>
    <w:qFormat/>
    <w:uiPriority w:val="0"/>
    <w:rPr>
      <w:sz w:val="24"/>
    </w:rPr>
  </w:style>
  <w:style w:type="paragraph" w:styleId="19">
    <w:name w:val="Title"/>
    <w:basedOn w:val="1"/>
    <w:next w:val="1"/>
    <w:link w:val="61"/>
    <w:qFormat/>
    <w:uiPriority w:val="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8"/>
    <w:next w:val="8"/>
    <w:link w:val="4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Emphasis"/>
    <w:qFormat/>
    <w:uiPriority w:val="20"/>
    <w:rPr>
      <w:i/>
      <w:iCs/>
    </w:rPr>
  </w:style>
  <w:style w:type="character" w:styleId="28">
    <w:name w:val="Hyperlink"/>
    <w:qFormat/>
    <w:uiPriority w:val="99"/>
    <w:rPr>
      <w:rFonts w:cs="Times New Roman"/>
      <w:color w:val="1F4F88"/>
      <w:u w:val="none"/>
    </w:rPr>
  </w:style>
  <w:style w:type="character" w:styleId="29">
    <w:name w:val="annotation reference"/>
    <w:qFormat/>
    <w:uiPriority w:val="0"/>
    <w:rPr>
      <w:sz w:val="21"/>
      <w:szCs w:val="21"/>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1">
    <w:name w:val="Char Char3"/>
    <w:qFormat/>
    <w:uiPriority w:val="0"/>
    <w:rPr>
      <w:rFonts w:ascii="宋体" w:hAnsi="Courier New" w:eastAsia="宋体"/>
      <w:kern w:val="2"/>
      <w:sz w:val="21"/>
      <w:lang w:val="en-US" w:eastAsia="zh-CN" w:bidi="ar-SA"/>
    </w:rPr>
  </w:style>
  <w:style w:type="character" w:customStyle="1" w:styleId="32">
    <w:name w:val="纯文本 Char"/>
    <w:qFormat/>
    <w:uiPriority w:val="0"/>
    <w:rPr>
      <w:rFonts w:ascii="宋体" w:hAnsi="Courier New" w:eastAsia="宋体"/>
      <w:kern w:val="2"/>
      <w:sz w:val="21"/>
      <w:lang w:val="en-US" w:eastAsia="zh-CN" w:bidi="ar-SA"/>
    </w:rPr>
  </w:style>
  <w:style w:type="character" w:customStyle="1" w:styleId="33">
    <w:name w:val="正文文本 字符"/>
    <w:link w:val="9"/>
    <w:qFormat/>
    <w:uiPriority w:val="0"/>
    <w:rPr>
      <w:rFonts w:ascii="仿宋_GB2312" w:eastAsia="仿宋_GB2312"/>
      <w:kern w:val="2"/>
      <w:sz w:val="32"/>
    </w:rPr>
  </w:style>
  <w:style w:type="character" w:customStyle="1" w:styleId="34">
    <w:name w:val="页脚 字符"/>
    <w:link w:val="14"/>
    <w:qFormat/>
    <w:uiPriority w:val="99"/>
    <w:rPr>
      <w:kern w:val="2"/>
      <w:sz w:val="18"/>
      <w:szCs w:val="18"/>
    </w:rPr>
  </w:style>
  <w:style w:type="character" w:customStyle="1" w:styleId="35">
    <w:name w:val="标题 3 字符"/>
    <w:link w:val="4"/>
    <w:qFormat/>
    <w:uiPriority w:val="9"/>
    <w:rPr>
      <w:rFonts w:eastAsia="宋体" w:cs="Times New Roman"/>
      <w:b/>
      <w:bCs/>
      <w:kern w:val="2"/>
      <w:sz w:val="32"/>
      <w:szCs w:val="32"/>
    </w:rPr>
  </w:style>
  <w:style w:type="character" w:customStyle="1" w:styleId="36">
    <w:name w:val="正文文本 Char"/>
    <w:qFormat/>
    <w:uiPriority w:val="0"/>
    <w:rPr>
      <w:rFonts w:ascii="仿宋_GB2312" w:eastAsia="仿宋_GB2312"/>
      <w:kern w:val="2"/>
      <w:sz w:val="32"/>
    </w:rPr>
  </w:style>
  <w:style w:type="character" w:customStyle="1" w:styleId="37">
    <w:name w:val="批注文字 字符"/>
    <w:link w:val="8"/>
    <w:qFormat/>
    <w:uiPriority w:val="0"/>
    <w:rPr>
      <w:kern w:val="2"/>
      <w:sz w:val="21"/>
    </w:rPr>
  </w:style>
  <w:style w:type="character" w:customStyle="1" w:styleId="38">
    <w:name w:val="apple-converted-space"/>
    <w:basedOn w:val="23"/>
    <w:qFormat/>
    <w:uiPriority w:val="0"/>
  </w:style>
  <w:style w:type="character" w:customStyle="1" w:styleId="39">
    <w:name w:val="批注框文本 字符"/>
    <w:link w:val="13"/>
    <w:qFormat/>
    <w:uiPriority w:val="99"/>
    <w:rPr>
      <w:kern w:val="2"/>
      <w:sz w:val="18"/>
      <w:szCs w:val="18"/>
    </w:rPr>
  </w:style>
  <w:style w:type="character" w:customStyle="1" w:styleId="40">
    <w:name w:val="正文文本缩进 字符"/>
    <w:link w:val="10"/>
    <w:qFormat/>
    <w:uiPriority w:val="99"/>
    <w:rPr>
      <w:rFonts w:ascii="Calibri" w:hAnsi="Calibri" w:eastAsia="宋体" w:cs="Times New Roman"/>
      <w:kern w:val="2"/>
      <w:sz w:val="21"/>
      <w:szCs w:val="22"/>
    </w:rPr>
  </w:style>
  <w:style w:type="character" w:customStyle="1" w:styleId="41">
    <w:name w:val="Char Char5"/>
    <w:qFormat/>
    <w:uiPriority w:val="0"/>
    <w:rPr>
      <w:rFonts w:ascii="宋体" w:hAnsi="Courier New" w:eastAsia="宋体"/>
      <w:kern w:val="2"/>
      <w:sz w:val="21"/>
      <w:lang w:val="en-US" w:eastAsia="zh-CN" w:bidi="ar-SA"/>
    </w:rPr>
  </w:style>
  <w:style w:type="character" w:customStyle="1" w:styleId="42">
    <w:name w:val="纯文本 字符1"/>
    <w:link w:val="11"/>
    <w:qFormat/>
    <w:uiPriority w:val="0"/>
    <w:rPr>
      <w:rFonts w:ascii="宋体" w:hAnsi="Courier New" w:eastAsia="宋体"/>
      <w:kern w:val="2"/>
      <w:sz w:val="21"/>
      <w:lang w:val="en-US" w:eastAsia="zh-CN" w:bidi="ar-SA"/>
    </w:rPr>
  </w:style>
  <w:style w:type="character" w:customStyle="1" w:styleId="43">
    <w:name w:val="纯文本 字符"/>
    <w:qFormat/>
    <w:uiPriority w:val="0"/>
    <w:rPr>
      <w:rFonts w:ascii="宋体" w:hAnsi="Courier New" w:eastAsia="宋体"/>
    </w:rPr>
  </w:style>
  <w:style w:type="character" w:customStyle="1" w:styleId="44">
    <w:name w:val="页眉 字符"/>
    <w:link w:val="15"/>
    <w:qFormat/>
    <w:uiPriority w:val="99"/>
    <w:rPr>
      <w:rFonts w:eastAsia="宋体"/>
      <w:kern w:val="2"/>
      <w:sz w:val="18"/>
      <w:szCs w:val="18"/>
      <w:lang w:val="en-US" w:eastAsia="zh-CN" w:bidi="ar-SA"/>
    </w:rPr>
  </w:style>
  <w:style w:type="character" w:customStyle="1" w:styleId="45">
    <w:name w:val="批注主题 字符"/>
    <w:link w:val="20"/>
    <w:qFormat/>
    <w:uiPriority w:val="0"/>
    <w:rPr>
      <w:b/>
      <w:bCs/>
      <w:kern w:val="2"/>
      <w:sz w:val="21"/>
    </w:rPr>
  </w:style>
  <w:style w:type="character" w:customStyle="1" w:styleId="46">
    <w:name w:val="Char Char2"/>
    <w:qFormat/>
    <w:uiPriority w:val="0"/>
    <w:rPr>
      <w:rFonts w:ascii="宋体" w:hAnsi="Courier New" w:cs="宋体"/>
      <w:kern w:val="2"/>
      <w:sz w:val="21"/>
      <w:szCs w:val="21"/>
    </w:rPr>
  </w:style>
  <w:style w:type="character" w:customStyle="1" w:styleId="47">
    <w:name w:val="HTML Markup"/>
    <w:qFormat/>
    <w:uiPriority w:val="0"/>
    <w:rPr>
      <w:vanish/>
      <w:color w:val="FF0000"/>
    </w:rPr>
  </w:style>
  <w:style w:type="character" w:customStyle="1" w:styleId="48">
    <w:name w:val="纯文本 Char3"/>
    <w:qFormat/>
    <w:uiPriority w:val="0"/>
    <w:rPr>
      <w:rFonts w:ascii="宋体" w:hAnsi="Courier New" w:eastAsia="宋体"/>
      <w:kern w:val="2"/>
      <w:sz w:val="21"/>
      <w:lang w:val="en-US" w:eastAsia="zh-CN" w:bidi="ar-SA"/>
    </w:rPr>
  </w:style>
  <w:style w:type="character" w:customStyle="1" w:styleId="49">
    <w:name w:val="正文文本缩进 Char"/>
    <w:link w:val="50"/>
    <w:qFormat/>
    <w:uiPriority w:val="0"/>
    <w:rPr>
      <w:kern w:val="2"/>
      <w:sz w:val="21"/>
    </w:rPr>
  </w:style>
  <w:style w:type="paragraph" w:customStyle="1" w:styleId="50">
    <w:name w:val="正文文本缩进1"/>
    <w:basedOn w:val="1"/>
    <w:link w:val="49"/>
    <w:qFormat/>
    <w:uiPriority w:val="0"/>
    <w:pPr>
      <w:spacing w:after="120"/>
      <w:ind w:left="420" w:leftChars="200"/>
    </w:pPr>
  </w:style>
  <w:style w:type="paragraph" w:customStyle="1" w:styleId="51">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二级列表 Char"/>
    <w:basedOn w:val="1"/>
    <w:qFormat/>
    <w:uiPriority w:val="0"/>
    <w:rPr>
      <w:rFonts w:ascii="Calibri" w:hAnsi="Calibri"/>
    </w:rPr>
  </w:style>
  <w:style w:type="character" w:customStyle="1" w:styleId="57">
    <w:name w:val="style61"/>
    <w:qFormat/>
    <w:uiPriority w:val="0"/>
  </w:style>
  <w:style w:type="character" w:customStyle="1" w:styleId="58">
    <w:name w:val="标题 1 字符"/>
    <w:basedOn w:val="23"/>
    <w:link w:val="2"/>
    <w:qFormat/>
    <w:uiPriority w:val="0"/>
    <w:rPr>
      <w:b/>
      <w:bCs/>
      <w:kern w:val="44"/>
      <w:sz w:val="44"/>
      <w:szCs w:val="44"/>
    </w:rPr>
  </w:style>
  <w:style w:type="paragraph" w:customStyle="1" w:styleId="5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0">
    <w:name w:val="标题 2 字符"/>
    <w:basedOn w:val="23"/>
    <w:link w:val="3"/>
    <w:semiHidden/>
    <w:qFormat/>
    <w:uiPriority w:val="0"/>
    <w:rPr>
      <w:rFonts w:asciiTheme="majorHAnsi" w:hAnsiTheme="majorHAnsi" w:eastAsiaTheme="majorEastAsia" w:cstheme="majorBidi"/>
      <w:b/>
      <w:bCs/>
      <w:kern w:val="2"/>
      <w:sz w:val="32"/>
      <w:szCs w:val="32"/>
    </w:rPr>
  </w:style>
  <w:style w:type="character" w:customStyle="1" w:styleId="61">
    <w:name w:val="标题 字符"/>
    <w:basedOn w:val="23"/>
    <w:link w:val="19"/>
    <w:qFormat/>
    <w:uiPriority w:val="0"/>
    <w:rPr>
      <w:rFonts w:asciiTheme="majorHAnsi" w:hAnsiTheme="majorHAnsi" w:eastAsiaTheme="majorEastAsia" w:cstheme="majorBidi"/>
      <w:b/>
      <w:bCs/>
      <w:kern w:val="2"/>
      <w:sz w:val="32"/>
      <w:szCs w:val="32"/>
    </w:rPr>
  </w:style>
  <w:style w:type="paragraph" w:customStyle="1" w:styleId="62">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3">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5425-FCBF-4E9D-B8B4-37EB8F11CB5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2101</Words>
  <Characters>11979</Characters>
  <Lines>99</Lines>
  <Paragraphs>28</Paragraphs>
  <TotalTime>31</TotalTime>
  <ScaleCrop>false</ScaleCrop>
  <LinksUpToDate>false</LinksUpToDate>
  <CharactersWithSpaces>14052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2021-05-06T00:59:00Z</dcterms:created>
  <dc:creator>微软用户</dc:creator>
  <cp:lastModifiedBy>亓祥斌</cp:lastModifiedBy>
  <cp:lastPrinted>2020-02-06T01:56:00Z</cp:lastPrinted>
  <dcterms:modified xsi:type="dcterms:W3CDTF">2024-08-30T05:43:25Z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2AECE966061E46E1B7D58A270731FAA8_13</vt:lpwstr>
  </property>
</Properties>
</file>