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楷体_GB2312" w:eastAsia="楷体_GB2312" w:cs="宋体"/>
          <w:b/>
          <w:bCs/>
          <w:color w:val="000000"/>
          <w:kern w:val="0"/>
          <w:sz w:val="36"/>
          <w:szCs w:val="36"/>
          <w:lang w:val="en-US" w:eastAsia="zh-CN"/>
        </w:rPr>
      </w:pPr>
      <w:r>
        <w:rPr>
          <w:rFonts w:hint="eastAsia" w:ascii="楷体_GB2312" w:eastAsia="楷体_GB2312" w:cs="宋体"/>
          <w:b/>
          <w:bCs/>
          <w:color w:val="000000"/>
          <w:kern w:val="0"/>
          <w:sz w:val="36"/>
          <w:szCs w:val="36"/>
        </w:rPr>
        <w:t>中国重汽集团济南卡车制造公司</w:t>
      </w:r>
      <w:r>
        <w:rPr>
          <w:rFonts w:hint="eastAsia" w:ascii="楷体_GB2312" w:eastAsia="楷体_GB2312" w:cs="宋体"/>
          <w:b/>
          <w:bCs/>
          <w:color w:val="000000"/>
          <w:kern w:val="0"/>
          <w:sz w:val="36"/>
          <w:szCs w:val="36"/>
          <w:lang w:eastAsia="zh-CN"/>
        </w:rPr>
        <w:t>绵阳分公司</w:t>
      </w:r>
    </w:p>
    <w:p>
      <w:pPr>
        <w:spacing w:line="480" w:lineRule="exact"/>
        <w:jc w:val="center"/>
        <w:rPr>
          <w:rFonts w:hint="eastAsia" w:ascii="楷体_GB2312" w:eastAsia="楷体_GB2312" w:cs="宋体"/>
          <w:b/>
          <w:bCs/>
          <w:color w:val="000000"/>
          <w:kern w:val="0"/>
          <w:sz w:val="36"/>
          <w:szCs w:val="36"/>
        </w:rPr>
      </w:pPr>
      <w:r>
        <w:rPr>
          <w:rFonts w:hint="eastAsia" w:ascii="楷体_GB2312" w:eastAsia="楷体_GB2312" w:cs="宋体"/>
          <w:b/>
          <w:bCs/>
          <w:color w:val="000000"/>
          <w:kern w:val="0"/>
          <w:sz w:val="36"/>
          <w:szCs w:val="36"/>
          <w:lang w:val="en-US" w:eastAsia="zh-CN"/>
        </w:rPr>
        <w:t>2024年绵阳分公司天然气配送加注充装</w:t>
      </w:r>
      <w:r>
        <w:rPr>
          <w:rFonts w:hint="eastAsia" w:ascii="楷体_GB2312" w:eastAsia="楷体_GB2312" w:cs="宋体"/>
          <w:b/>
          <w:bCs/>
          <w:color w:val="000000"/>
          <w:kern w:val="0"/>
          <w:sz w:val="36"/>
          <w:szCs w:val="36"/>
        </w:rPr>
        <w:t>项目招标公告</w:t>
      </w:r>
    </w:p>
    <w:p>
      <w:pPr>
        <w:widowControl/>
        <w:jc w:val="left"/>
        <w:rPr>
          <w:rFonts w:hint="eastAsia" w:ascii="楷体" w:hAnsi="楷体" w:eastAsia="楷体" w:cs="楷体"/>
          <w:color w:val="000000"/>
          <w:kern w:val="0"/>
          <w:sz w:val="18"/>
          <w:szCs w:val="18"/>
        </w:rPr>
      </w:pPr>
      <w:r>
        <w:rPr>
          <w:rFonts w:hint="eastAsia" w:ascii="楷体" w:hAnsi="楷体" w:eastAsia="楷体" w:cs="楷体"/>
          <w:color w:val="000000"/>
          <w:kern w:val="0"/>
          <w:sz w:val="28"/>
          <w:szCs w:val="28"/>
        </w:rPr>
        <w:t>一、采取公开招标</w:t>
      </w:r>
      <w:r>
        <w:rPr>
          <w:rFonts w:hint="eastAsia" w:ascii="楷体" w:hAnsi="楷体" w:eastAsia="楷体" w:cs="楷体"/>
          <w:color w:val="000000"/>
          <w:kern w:val="0"/>
          <w:sz w:val="28"/>
          <w:szCs w:val="28"/>
          <w:lang w:eastAsia="zh-CN"/>
        </w:rPr>
        <w:t>采购</w:t>
      </w:r>
      <w:r>
        <w:rPr>
          <w:rFonts w:hint="eastAsia" w:ascii="楷体" w:hAnsi="楷体" w:eastAsia="楷体" w:cs="楷体"/>
          <w:color w:val="000000"/>
          <w:kern w:val="0"/>
          <w:sz w:val="28"/>
          <w:szCs w:val="28"/>
        </w:rPr>
        <w:t>。</w:t>
      </w:r>
    </w:p>
    <w:p>
      <w:pPr>
        <w:spacing w:line="480" w:lineRule="exact"/>
        <w:rPr>
          <w:rFonts w:hint="eastAsia" w:ascii="楷体" w:hAnsi="楷体" w:eastAsia="楷体" w:cs="楷体"/>
          <w:color w:val="000000"/>
          <w:kern w:val="0"/>
          <w:sz w:val="28"/>
          <w:szCs w:val="28"/>
          <w:lang w:val="en-US" w:eastAsia="zh-CN"/>
        </w:rPr>
      </w:pPr>
      <w:r>
        <w:rPr>
          <w:rFonts w:hint="eastAsia" w:ascii="楷体" w:hAnsi="楷体" w:eastAsia="楷体" w:cs="楷体"/>
          <w:color w:val="000000"/>
          <w:kern w:val="0"/>
          <w:sz w:val="28"/>
          <w:szCs w:val="28"/>
        </w:rPr>
        <w:t>二、招标内容</w:t>
      </w:r>
      <w:r>
        <w:rPr>
          <w:rFonts w:hint="eastAsia" w:ascii="楷体" w:hAnsi="楷体" w:eastAsia="楷体" w:cs="楷体"/>
          <w:color w:val="000000"/>
          <w:kern w:val="0"/>
          <w:sz w:val="28"/>
          <w:szCs w:val="28"/>
          <w:lang w:eastAsia="zh-CN"/>
        </w:rPr>
        <w:t>：</w:t>
      </w:r>
      <w:r>
        <w:rPr>
          <w:rFonts w:hint="eastAsia" w:ascii="楷体" w:hAnsi="楷体" w:eastAsia="楷体" w:cs="楷体"/>
          <w:color w:val="000000"/>
          <w:kern w:val="0"/>
          <w:sz w:val="28"/>
          <w:szCs w:val="28"/>
          <w:lang w:val="en-US" w:eastAsia="zh-CN"/>
        </w:rPr>
        <w:t>2024年绵阳分公司天然气配送加注充装业务外包</w:t>
      </w:r>
    </w:p>
    <w:p>
      <w:pPr>
        <w:ind w:firstLine="560" w:firstLineChars="200"/>
        <w:rPr>
          <w:rFonts w:hint="default" w:ascii="楷体" w:hAnsi="楷体" w:eastAsia="楷体" w:cs="楷体"/>
          <w:lang w:val="en-US" w:eastAsia="zh-CN"/>
        </w:rPr>
      </w:pPr>
      <w:r>
        <w:rPr>
          <w:rFonts w:hint="eastAsia" w:ascii="楷体" w:hAnsi="楷体" w:eastAsia="楷体" w:cs="楷体"/>
          <w:color w:val="000000"/>
          <w:kern w:val="0"/>
          <w:sz w:val="28"/>
          <w:szCs w:val="28"/>
        </w:rPr>
        <w:t>服务地点：中国重汽集团济南卡车制造公司</w:t>
      </w:r>
      <w:r>
        <w:rPr>
          <w:rFonts w:hint="eastAsia" w:ascii="楷体" w:hAnsi="楷体" w:eastAsia="楷体" w:cs="楷体"/>
          <w:color w:val="000000"/>
          <w:kern w:val="0"/>
          <w:sz w:val="28"/>
          <w:szCs w:val="28"/>
          <w:highlight w:val="none"/>
          <w:lang w:eastAsia="zh-CN"/>
        </w:rPr>
        <w:t>绵阳分公司总装现场分部</w:t>
      </w:r>
    </w:p>
    <w:p>
      <w:pPr>
        <w:spacing w:line="480" w:lineRule="exact"/>
        <w:ind w:firstLine="560" w:firstLineChars="200"/>
        <w:rPr>
          <w:rFonts w:hint="eastAsia" w:ascii="楷体" w:hAnsi="楷体" w:eastAsia="楷体" w:cs="楷体"/>
          <w:color w:val="000000"/>
          <w:kern w:val="0"/>
          <w:sz w:val="28"/>
          <w:szCs w:val="28"/>
        </w:rPr>
      </w:pPr>
      <w:r>
        <w:rPr>
          <w:rFonts w:hint="eastAsia" w:ascii="楷体" w:hAnsi="楷体" w:eastAsia="楷体" w:cs="楷体"/>
          <w:color w:val="000000"/>
          <w:kern w:val="0"/>
          <w:sz w:val="28"/>
          <w:szCs w:val="28"/>
        </w:rPr>
        <w:t>项目概况：</w:t>
      </w:r>
    </w:p>
    <w:p>
      <w:pPr>
        <w:widowControl/>
        <w:ind w:firstLine="560" w:firstLineChars="200"/>
        <w:jc w:val="left"/>
        <w:rPr>
          <w:rFonts w:hint="eastAsia" w:ascii="楷体" w:hAnsi="楷体" w:eastAsia="楷体" w:cs="楷体"/>
          <w:color w:val="000000"/>
          <w:kern w:val="0"/>
          <w:sz w:val="28"/>
          <w:szCs w:val="28"/>
          <w:highlight w:val="none"/>
        </w:rPr>
      </w:pPr>
      <w:r>
        <w:rPr>
          <w:rFonts w:hint="eastAsia" w:ascii="楷体" w:hAnsi="楷体" w:eastAsia="楷体" w:cs="楷体"/>
          <w:color w:val="000000"/>
          <w:kern w:val="0"/>
          <w:sz w:val="28"/>
          <w:szCs w:val="28"/>
          <w:highlight w:val="none"/>
          <w:lang w:val="en-US" w:eastAsia="zh-CN"/>
        </w:rPr>
        <w:t>1、</w:t>
      </w:r>
      <w:r>
        <w:rPr>
          <w:rFonts w:hint="eastAsia" w:ascii="楷体" w:hAnsi="楷体" w:eastAsia="楷体" w:cs="楷体"/>
          <w:color w:val="000000"/>
          <w:kern w:val="0"/>
          <w:sz w:val="28"/>
          <w:szCs w:val="28"/>
          <w:highlight w:val="none"/>
        </w:rPr>
        <w:t>位置：位于</w:t>
      </w:r>
      <w:r>
        <w:rPr>
          <w:rFonts w:hint="eastAsia" w:ascii="楷体" w:hAnsi="楷体" w:eastAsia="楷体" w:cs="楷体"/>
          <w:color w:val="000000"/>
          <w:kern w:val="0"/>
          <w:sz w:val="28"/>
          <w:szCs w:val="28"/>
          <w:highlight w:val="none"/>
          <w:lang w:val="en-US" w:eastAsia="zh-CN"/>
        </w:rPr>
        <w:t>绵阳分公司</w:t>
      </w:r>
      <w:r>
        <w:rPr>
          <w:rFonts w:hint="eastAsia" w:ascii="楷体" w:hAnsi="楷体" w:eastAsia="楷体" w:cs="楷体"/>
          <w:color w:val="000000"/>
          <w:kern w:val="0"/>
          <w:sz w:val="28"/>
          <w:szCs w:val="28"/>
          <w:highlight w:val="none"/>
        </w:rPr>
        <w:t>。</w:t>
      </w:r>
    </w:p>
    <w:p>
      <w:pPr>
        <w:widowControl/>
        <w:ind w:firstLine="560" w:firstLineChars="200"/>
        <w:jc w:val="left"/>
        <w:rPr>
          <w:rFonts w:hint="eastAsia" w:ascii="楷体" w:hAnsi="楷体" w:eastAsia="楷体" w:cs="楷体"/>
          <w:color w:val="000000"/>
          <w:kern w:val="0"/>
          <w:sz w:val="28"/>
          <w:szCs w:val="28"/>
          <w:highlight w:val="none"/>
        </w:rPr>
      </w:pPr>
      <w:r>
        <w:rPr>
          <w:rFonts w:hint="eastAsia" w:ascii="楷体" w:hAnsi="楷体" w:eastAsia="楷体" w:cs="楷体"/>
          <w:color w:val="000000"/>
          <w:kern w:val="0"/>
          <w:sz w:val="28"/>
          <w:szCs w:val="28"/>
          <w:highlight w:val="none"/>
          <w:lang w:val="en-US" w:eastAsia="zh-CN"/>
        </w:rPr>
        <w:t>2、</w:t>
      </w:r>
      <w:r>
        <w:rPr>
          <w:rFonts w:hint="eastAsia" w:ascii="楷体" w:hAnsi="楷体" w:eastAsia="楷体" w:cs="楷体"/>
          <w:color w:val="000000"/>
          <w:kern w:val="0"/>
          <w:sz w:val="28"/>
          <w:szCs w:val="28"/>
          <w:highlight w:val="none"/>
        </w:rPr>
        <w:t>设备清单：</w:t>
      </w:r>
      <w:r>
        <w:rPr>
          <w:rFonts w:hint="eastAsia" w:ascii="楷体" w:hAnsi="楷体" w:eastAsia="楷体" w:cs="楷体"/>
          <w:color w:val="000000"/>
          <w:kern w:val="0"/>
          <w:sz w:val="28"/>
          <w:szCs w:val="28"/>
          <w:highlight w:val="none"/>
          <w:lang w:eastAsia="zh-CN"/>
        </w:rPr>
        <w:t>承揽方提供</w:t>
      </w:r>
      <w:r>
        <w:rPr>
          <w:rFonts w:hint="eastAsia" w:ascii="楷体" w:hAnsi="楷体" w:eastAsia="楷体" w:cs="楷体"/>
          <w:color w:val="000000"/>
          <w:kern w:val="0"/>
          <w:sz w:val="28"/>
          <w:szCs w:val="28"/>
          <w:highlight w:val="none"/>
          <w:lang w:val="en-US" w:eastAsia="zh-CN"/>
        </w:rPr>
        <w:t>配送加注充装</w:t>
      </w:r>
      <w:r>
        <w:rPr>
          <w:rFonts w:hint="eastAsia" w:ascii="楷体" w:hAnsi="楷体" w:eastAsia="楷体" w:cs="楷体"/>
          <w:color w:val="000000"/>
          <w:kern w:val="0"/>
          <w:sz w:val="28"/>
          <w:szCs w:val="28"/>
          <w:highlight w:val="none"/>
        </w:rPr>
        <w:t>所需的设备。</w:t>
      </w:r>
    </w:p>
    <w:p>
      <w:pPr>
        <w:widowControl/>
        <w:ind w:firstLine="560" w:firstLineChars="200"/>
        <w:jc w:val="left"/>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3、</w:t>
      </w:r>
      <w:r>
        <w:rPr>
          <w:rFonts w:hint="eastAsia" w:ascii="楷体" w:hAnsi="楷体" w:eastAsia="楷体" w:cs="楷体"/>
          <w:color w:val="000000"/>
          <w:kern w:val="0"/>
          <w:sz w:val="28"/>
          <w:szCs w:val="28"/>
          <w:highlight w:val="none"/>
        </w:rPr>
        <w:t>项目所需人员：</w:t>
      </w:r>
      <w:r>
        <w:rPr>
          <w:rFonts w:hint="eastAsia" w:ascii="楷体" w:hAnsi="楷体" w:eastAsia="楷体" w:cs="楷体"/>
          <w:color w:val="000000"/>
          <w:kern w:val="0"/>
          <w:sz w:val="28"/>
          <w:szCs w:val="28"/>
          <w:highlight w:val="none"/>
          <w:lang w:val="en-US" w:eastAsia="zh-CN"/>
        </w:rPr>
        <w:t>人员配置数量、组织架构设置满足作业需求，不得少于3人（单班）。投标方还需提供符合工艺要求的充装工位器具，符合仓储配送需要。</w:t>
      </w:r>
    </w:p>
    <w:p>
      <w:pPr>
        <w:widowControl/>
        <w:ind w:firstLine="560" w:firstLineChars="200"/>
        <w:jc w:val="left"/>
        <w:rPr>
          <w:rFonts w:hint="default"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4、</w:t>
      </w:r>
      <w:r>
        <w:rPr>
          <w:rFonts w:hint="eastAsia" w:ascii="楷体" w:hAnsi="楷体" w:eastAsia="楷体" w:cs="楷体"/>
          <w:color w:val="000000"/>
          <w:kern w:val="0"/>
          <w:sz w:val="28"/>
          <w:szCs w:val="28"/>
          <w:highlight w:val="none"/>
        </w:rPr>
        <w:t>产量</w:t>
      </w:r>
      <w:r>
        <w:rPr>
          <w:rFonts w:hint="eastAsia" w:ascii="楷体" w:hAnsi="楷体" w:eastAsia="楷体" w:cs="楷体"/>
          <w:color w:val="000000"/>
          <w:kern w:val="0"/>
          <w:sz w:val="28"/>
          <w:szCs w:val="28"/>
          <w:highlight w:val="none"/>
          <w:lang w:eastAsia="zh-CN"/>
        </w:rPr>
        <w:t>：</w:t>
      </w:r>
      <w:r>
        <w:rPr>
          <w:rFonts w:hint="eastAsia" w:ascii="楷体" w:hAnsi="楷体" w:eastAsia="楷体" w:cs="楷体"/>
          <w:color w:val="000000"/>
          <w:kern w:val="0"/>
          <w:sz w:val="28"/>
          <w:szCs w:val="28"/>
          <w:highlight w:val="none"/>
        </w:rPr>
        <w:t>2024年卡车公司总产量按照</w:t>
      </w:r>
      <w:r>
        <w:rPr>
          <w:rFonts w:hint="eastAsia" w:ascii="楷体" w:hAnsi="楷体" w:eastAsia="楷体" w:cs="楷体"/>
          <w:color w:val="000000"/>
          <w:kern w:val="0"/>
          <w:sz w:val="28"/>
          <w:szCs w:val="28"/>
          <w:highlight w:val="none"/>
          <w:lang w:val="en-US" w:eastAsia="zh-CN"/>
        </w:rPr>
        <w:t>3500</w:t>
      </w:r>
      <w:r>
        <w:rPr>
          <w:rFonts w:hint="eastAsia" w:ascii="楷体" w:hAnsi="楷体" w:eastAsia="楷体" w:cs="楷体"/>
          <w:color w:val="000000"/>
          <w:kern w:val="0"/>
          <w:sz w:val="28"/>
          <w:szCs w:val="28"/>
          <w:highlight w:val="none"/>
        </w:rPr>
        <w:t>辆预估，该数据仅供投标人参考。</w:t>
      </w:r>
    </w:p>
    <w:p>
      <w:pPr>
        <w:widowControl/>
        <w:ind w:firstLine="560" w:firstLineChars="200"/>
        <w:jc w:val="left"/>
        <w:rPr>
          <w:rFonts w:hint="eastAsia" w:ascii="楷体" w:hAnsi="楷体" w:eastAsia="楷体" w:cs="楷体"/>
          <w:color w:val="000000"/>
          <w:kern w:val="0"/>
          <w:sz w:val="28"/>
          <w:szCs w:val="28"/>
          <w:highlight w:val="none"/>
          <w:lang w:eastAsia="zh-CN"/>
        </w:rPr>
      </w:pPr>
      <w:r>
        <w:rPr>
          <w:rFonts w:hint="eastAsia" w:ascii="楷体" w:hAnsi="楷体" w:eastAsia="楷体" w:cs="楷体"/>
          <w:color w:val="000000"/>
          <w:kern w:val="0"/>
          <w:sz w:val="28"/>
          <w:szCs w:val="28"/>
          <w:highlight w:val="none"/>
          <w:lang w:val="en-US" w:eastAsia="zh-CN"/>
        </w:rPr>
        <w:t>5、</w:t>
      </w:r>
      <w:r>
        <w:rPr>
          <w:rFonts w:hint="eastAsia" w:ascii="楷体" w:hAnsi="楷体" w:eastAsia="楷体" w:cs="楷体"/>
          <w:color w:val="000000"/>
          <w:kern w:val="0"/>
          <w:sz w:val="28"/>
          <w:szCs w:val="28"/>
          <w:highlight w:val="none"/>
        </w:rPr>
        <w:t>标的物</w:t>
      </w:r>
      <w:r>
        <w:rPr>
          <w:rFonts w:hint="eastAsia" w:ascii="楷体" w:hAnsi="楷体" w:eastAsia="楷体" w:cs="楷体"/>
          <w:color w:val="000000"/>
          <w:kern w:val="0"/>
          <w:sz w:val="28"/>
          <w:szCs w:val="28"/>
          <w:highlight w:val="none"/>
          <w:lang w:eastAsia="zh-CN"/>
        </w:rPr>
        <w:t>：此项目主要为绵阳分公司</w:t>
      </w:r>
      <w:r>
        <w:rPr>
          <w:rFonts w:hint="eastAsia" w:ascii="楷体" w:hAnsi="楷体" w:eastAsia="楷体" w:cs="楷体"/>
          <w:color w:val="000000"/>
          <w:kern w:val="0"/>
          <w:sz w:val="28"/>
          <w:szCs w:val="28"/>
          <w:highlight w:val="none"/>
          <w:lang w:val="en-US" w:eastAsia="zh-CN"/>
        </w:rPr>
        <w:t>天然气配送加注充装</w:t>
      </w:r>
      <w:r>
        <w:rPr>
          <w:rFonts w:hint="eastAsia" w:ascii="楷体" w:hAnsi="楷体" w:eastAsia="楷体" w:cs="楷体"/>
          <w:color w:val="000000"/>
          <w:kern w:val="0"/>
          <w:sz w:val="28"/>
          <w:szCs w:val="28"/>
          <w:highlight w:val="none"/>
          <w:lang w:eastAsia="zh-CN"/>
        </w:rPr>
        <w:t>外包，具体</w:t>
      </w:r>
      <w:r>
        <w:rPr>
          <w:rFonts w:hint="eastAsia" w:ascii="楷体" w:hAnsi="楷体" w:eastAsia="楷体" w:cs="楷体"/>
          <w:color w:val="000000"/>
          <w:kern w:val="0"/>
          <w:sz w:val="28"/>
          <w:szCs w:val="28"/>
          <w:highlight w:val="none"/>
          <w:lang w:val="en-US" w:eastAsia="zh-CN"/>
        </w:rPr>
        <w:t>为将天然气配送至绵阳分公司厂区，对绵阳分公司下线天然气车型进行天然气加注充装</w:t>
      </w:r>
      <w:r>
        <w:rPr>
          <w:rFonts w:hint="eastAsia" w:ascii="楷体" w:hAnsi="楷体" w:eastAsia="楷体" w:cs="楷体"/>
          <w:color w:val="000000"/>
          <w:kern w:val="0"/>
          <w:sz w:val="28"/>
          <w:szCs w:val="28"/>
          <w:highlight w:val="none"/>
          <w:lang w:eastAsia="zh-CN"/>
        </w:rPr>
        <w:t>。此项目工序工艺、产品需严格按照卡车公司技术、质量部门要求进行操作。</w:t>
      </w:r>
    </w:p>
    <w:p>
      <w:pPr>
        <w:spacing w:line="480" w:lineRule="exact"/>
        <w:rPr>
          <w:rFonts w:hint="eastAsia" w:ascii="楷体" w:hAnsi="楷体" w:eastAsia="楷体" w:cs="楷体"/>
          <w:color w:val="000000"/>
          <w:kern w:val="0"/>
          <w:sz w:val="28"/>
          <w:szCs w:val="28"/>
        </w:rPr>
      </w:pPr>
      <w:r>
        <w:rPr>
          <w:rFonts w:hint="eastAsia" w:ascii="楷体" w:hAnsi="楷体" w:eastAsia="楷体" w:cs="楷体"/>
          <w:color w:val="000000"/>
          <w:kern w:val="0"/>
          <w:sz w:val="28"/>
          <w:szCs w:val="28"/>
        </w:rPr>
        <w:t>三、投标方资格要求：</w:t>
      </w:r>
    </w:p>
    <w:p>
      <w:pPr>
        <w:widowControl/>
        <w:jc w:val="left"/>
        <w:rPr>
          <w:rFonts w:hint="eastAsia" w:ascii="楷体" w:hAnsi="楷体" w:eastAsia="楷体" w:cs="楷体"/>
          <w:color w:val="000000"/>
          <w:kern w:val="0"/>
          <w:sz w:val="18"/>
          <w:szCs w:val="18"/>
          <w:highlight w:val="none"/>
        </w:rPr>
      </w:pPr>
      <w:r>
        <w:rPr>
          <w:rFonts w:hint="eastAsia" w:ascii="楷体" w:hAnsi="楷体" w:eastAsia="楷体" w:cs="楷体"/>
          <w:color w:val="000000"/>
          <w:kern w:val="0"/>
          <w:sz w:val="28"/>
          <w:szCs w:val="28"/>
        </w:rPr>
        <w:t xml:space="preserve">   </w:t>
      </w:r>
      <w:r>
        <w:rPr>
          <w:rFonts w:hint="eastAsia" w:ascii="楷体" w:hAnsi="楷体" w:eastAsia="楷体" w:cs="楷体"/>
          <w:color w:val="000000"/>
          <w:kern w:val="0"/>
          <w:sz w:val="28"/>
          <w:szCs w:val="28"/>
          <w:lang w:val="en-US" w:eastAsia="zh-CN"/>
        </w:rPr>
        <w:t xml:space="preserve">  </w:t>
      </w:r>
      <w:r>
        <w:rPr>
          <w:rFonts w:hint="eastAsia" w:ascii="楷体" w:hAnsi="楷体" w:eastAsia="楷体" w:cs="楷体"/>
          <w:color w:val="000000"/>
          <w:kern w:val="0"/>
          <w:sz w:val="28"/>
          <w:szCs w:val="28"/>
        </w:rPr>
        <w:t>招标方通过公开招标寻找能</w:t>
      </w:r>
      <w:r>
        <w:rPr>
          <w:rFonts w:hint="eastAsia" w:ascii="楷体" w:hAnsi="楷体" w:eastAsia="楷体" w:cs="楷体"/>
          <w:color w:val="000000"/>
          <w:kern w:val="0"/>
          <w:sz w:val="28"/>
          <w:szCs w:val="28"/>
          <w:highlight w:val="none"/>
        </w:rPr>
        <w:t>够提供良好服务的厂家作为本项目的投标方。为此，招标方要求投标方满足以下要求。</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1、投标人须遵守《中华人民共和国招标投标法》、《中华人民共和国民法典》及其它有关的法律和法规；为中华人民共和国境内注册的独立法人机构，具有独立承担民事责任能力；</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2、具有独立法人资格和国家综合服务型物流企业认证资质，注册资本金100万元以上（已进入中国重汽物流商目录的不受该条件限制）；经营范围应包括零部件加工、劳务服务等服务项目；</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3、有3年以上天然气运输、充装服务经验，有经验丰富的业务员工团队，有为客户提供一体化充装服务的硬件资源和运营能力；</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4、投标人须提供具有统一社会信用代码的新版营业执照副本原件及复印件（加盖公章）；</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5、具有良好的商业信誉，在国家企业信用信息公示系统中无与本项目有关的行政处罚、列入经营异常名录和列入严重违法失信企业名单（黑名单）信息或上述信息已被移除；</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6、投标人近三年内在经营活动中无与本项目有关的违法及重大违规情况；</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7、具有健全的财务会计制度，财务状况和市场行为良好。没有处于被有权机关吊销营业执照、吊销资质、停业整顿、取消投标资格以及财产被接管、冻结或进入破产程序等。</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8、投标人没有被列入招标人处《黑名单》（《黑名单》指投标人与招标人在以往或正在进行的合作中，存在招标人认为的违反合同约定或违反法律法规等的失信行为）的；</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9、投标人须提供法人授权委托书原件（在投标文件副本中可用复印件）及投标单位的法定代表人或授权代表的身份证原件及复印件（加盖公章）；</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10、投标人须具有履行合同所必须的财务、技术、服务等方面的资质和能力；</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11、标人须具有完全履行招标文件的所有要求的能力；</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12、投标人须认可招标人的工作指令，包括节、假日能正常开展工作的要求；</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13、供方的直接或间接股东、法定代表人、董事、监事、高管非重汽员工及其亲属；</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14、不接受联合体投标；</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15、投标人必须是最终投保、签订合同的单位，不得以任何理由将已中标项目以任何形式分包或转包给其他单位。</w:t>
      </w:r>
    </w:p>
    <w:p>
      <w:pPr>
        <w:widowControl/>
        <w:jc w:val="left"/>
        <w:rPr>
          <w:rFonts w:hint="eastAsia" w:ascii="楷体" w:hAnsi="楷体" w:eastAsia="楷体" w:cs="楷体"/>
          <w:color w:val="000000"/>
          <w:kern w:val="0"/>
          <w:sz w:val="18"/>
          <w:szCs w:val="18"/>
          <w:highlight w:val="none"/>
        </w:rPr>
      </w:pPr>
      <w:r>
        <w:rPr>
          <w:rFonts w:hint="eastAsia" w:ascii="楷体" w:hAnsi="楷体" w:eastAsia="楷体" w:cs="楷体"/>
          <w:color w:val="000000"/>
          <w:kern w:val="0"/>
          <w:sz w:val="28"/>
          <w:szCs w:val="28"/>
        </w:rPr>
        <w:t>四、招</w:t>
      </w:r>
      <w:r>
        <w:rPr>
          <w:rFonts w:hint="eastAsia" w:ascii="楷体" w:hAnsi="楷体" w:eastAsia="楷体" w:cs="楷体"/>
          <w:color w:val="000000"/>
          <w:kern w:val="0"/>
          <w:sz w:val="28"/>
          <w:szCs w:val="28"/>
          <w:highlight w:val="none"/>
        </w:rPr>
        <w:t>标项目报名及文件的获取：</w:t>
      </w:r>
    </w:p>
    <w:p>
      <w:pPr>
        <w:spacing w:line="360" w:lineRule="auto"/>
        <w:ind w:firstLine="560" w:firstLineChars="200"/>
        <w:rPr>
          <w:rFonts w:hint="eastAsia"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1、应标截止时间：凡有意参加投标者，请于2024年9月6日17:00前在重汽e采通完成应标，并按应标要求递交各种报名手续进行初审。</w:t>
      </w:r>
    </w:p>
    <w:p>
      <w:pPr>
        <w:spacing w:line="360" w:lineRule="auto"/>
        <w:ind w:firstLine="560" w:firstLineChars="200"/>
        <w:rPr>
          <w:rFonts w:hint="default" w:ascii="楷体" w:hAnsi="楷体" w:eastAsia="楷体" w:cs="楷体"/>
          <w:color w:val="000000"/>
          <w:kern w:val="0"/>
          <w:sz w:val="28"/>
          <w:szCs w:val="28"/>
          <w:highlight w:val="none"/>
          <w:lang w:val="en-US" w:eastAsia="zh-CN"/>
        </w:rPr>
      </w:pPr>
      <w:r>
        <w:rPr>
          <w:rFonts w:hint="eastAsia" w:ascii="楷体" w:hAnsi="楷体" w:eastAsia="楷体" w:cs="楷体"/>
          <w:color w:val="000000"/>
          <w:kern w:val="0"/>
          <w:sz w:val="28"/>
          <w:szCs w:val="28"/>
          <w:highlight w:val="none"/>
          <w:lang w:val="en-US" w:eastAsia="zh-CN"/>
        </w:rPr>
        <w:t>2、投标截止时间：2024年9月3日18:00时（北京时间）</w:t>
      </w:r>
    </w:p>
    <w:p>
      <w:pPr>
        <w:spacing w:line="360" w:lineRule="auto"/>
        <w:ind w:firstLine="560" w:firstLineChars="200"/>
        <w:rPr>
          <w:rFonts w:hint="eastAsia" w:ascii="楷体" w:hAnsi="Calibri" w:eastAsia="楷体" w:cs="宋体"/>
          <w:color w:val="000000"/>
          <w:kern w:val="0"/>
          <w:sz w:val="28"/>
          <w:szCs w:val="28"/>
          <w:highlight w:val="none"/>
          <w:lang w:val="en-US" w:eastAsia="zh-CN" w:bidi="ar-SA"/>
        </w:rPr>
      </w:pPr>
      <w:r>
        <w:rPr>
          <w:rFonts w:hint="eastAsia" w:ascii="楷体" w:hAnsi="楷体" w:eastAsia="楷体" w:cs="楷体"/>
          <w:color w:val="000000"/>
          <w:kern w:val="0"/>
          <w:sz w:val="28"/>
          <w:szCs w:val="28"/>
          <w:highlight w:val="none"/>
          <w:lang w:val="en-US" w:eastAsia="zh-CN"/>
        </w:rPr>
        <w:t>3、开标时间：另行通知</w:t>
      </w:r>
    </w:p>
    <w:p>
      <w:pPr>
        <w:pStyle w:val="12"/>
        <w:ind w:left="0" w:leftChars="0" w:firstLine="560" w:firstLineChars="200"/>
        <w:rPr>
          <w:rFonts w:hint="eastAsia"/>
          <w:lang w:val="en-US" w:eastAsia="zh-CN"/>
        </w:rPr>
      </w:pPr>
      <w:r>
        <w:rPr>
          <w:rFonts w:hint="eastAsia" w:ascii="楷体" w:hAnsi="Calibri" w:eastAsia="楷体" w:cs="宋体"/>
          <w:color w:val="000000"/>
          <w:kern w:val="0"/>
          <w:sz w:val="28"/>
          <w:szCs w:val="28"/>
          <w:highlight w:val="none"/>
          <w:lang w:val="en-US" w:eastAsia="zh-CN" w:bidi="ar-SA"/>
        </w:rPr>
        <w:t>应标方式：方式为电子化线上应标，投标方先进入中国重汽e采通进行登录，并查看招标文件相关公告及信息，并按要求提供资质文件、业务简介、项目业绩，后附说明。</w:t>
      </w:r>
    </w:p>
    <w:p>
      <w:pPr>
        <w:widowControl/>
        <w:jc w:val="left"/>
        <w:rPr>
          <w:rFonts w:hint="eastAsia" w:ascii="楷体" w:hAnsi="楷体" w:eastAsia="楷体" w:cs="楷体"/>
          <w:color w:val="000000"/>
          <w:kern w:val="0"/>
          <w:sz w:val="28"/>
          <w:szCs w:val="28"/>
          <w:lang w:val="en-US" w:eastAsia="zh-CN"/>
        </w:rPr>
      </w:pPr>
      <w:r>
        <w:rPr>
          <w:rFonts w:hint="eastAsia" w:ascii="楷体" w:hAnsi="楷体" w:eastAsia="楷体" w:cs="楷体"/>
          <w:color w:val="000000"/>
          <w:kern w:val="0"/>
          <w:sz w:val="28"/>
          <w:szCs w:val="28"/>
          <w:lang w:val="en-US" w:eastAsia="zh-CN"/>
        </w:rPr>
        <w:t>五、投标文件的递交</w:t>
      </w:r>
    </w:p>
    <w:p>
      <w:pPr>
        <w:widowControl/>
        <w:ind w:firstLine="560" w:firstLineChars="200"/>
        <w:jc w:val="left"/>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lang w:val="en-US" w:eastAsia="zh-CN"/>
        </w:rPr>
        <w:t>1、</w:t>
      </w:r>
      <w:r>
        <w:rPr>
          <w:rFonts w:hint="eastAsia" w:ascii="楷体" w:hAnsi="楷体" w:eastAsia="楷体" w:cs="楷体"/>
          <w:color w:val="auto"/>
          <w:kern w:val="0"/>
          <w:sz w:val="28"/>
          <w:szCs w:val="28"/>
          <w:highlight w:val="none"/>
        </w:rPr>
        <w:t>投标文件递交的截止时间详见中国重汽e采通公示明细。</w:t>
      </w:r>
    </w:p>
    <w:p>
      <w:pPr>
        <w:widowControl/>
        <w:ind w:firstLine="560" w:firstLineChars="200"/>
        <w:jc w:val="left"/>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lang w:val="en-US" w:eastAsia="zh-CN"/>
        </w:rPr>
        <w:t>2、</w:t>
      </w:r>
      <w:r>
        <w:rPr>
          <w:rFonts w:hint="eastAsia" w:ascii="楷体" w:hAnsi="楷体" w:eastAsia="楷体" w:cs="楷体"/>
          <w:color w:val="auto"/>
          <w:kern w:val="0"/>
          <w:sz w:val="28"/>
          <w:szCs w:val="28"/>
          <w:highlight w:val="none"/>
        </w:rPr>
        <w:t>投标厂家未按时间节点进行应标、递交合格的的投标文件，招标人不予受理。</w:t>
      </w:r>
    </w:p>
    <w:p>
      <w:pPr>
        <w:widowControl/>
        <w:ind w:firstLine="560" w:firstLineChars="200"/>
        <w:jc w:val="left"/>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lang w:val="en-US" w:eastAsia="zh-CN"/>
        </w:rPr>
        <w:t>3、</w:t>
      </w:r>
      <w:r>
        <w:rPr>
          <w:rFonts w:hint="eastAsia" w:ascii="楷体" w:hAnsi="楷体" w:eastAsia="楷体" w:cs="楷体"/>
          <w:color w:val="auto"/>
          <w:kern w:val="0"/>
          <w:sz w:val="28"/>
          <w:szCs w:val="28"/>
          <w:highlight w:val="none"/>
        </w:rPr>
        <w:t>招标单位对投标厂家的资格进行审查，资格审查通过后进入供应商投标流程。</w:t>
      </w:r>
    </w:p>
    <w:p>
      <w:pPr>
        <w:widowControl/>
        <w:ind w:firstLine="560" w:firstLineChars="200"/>
        <w:jc w:val="left"/>
        <w:rPr>
          <w:rFonts w:hint="default" w:ascii="楷体" w:hAnsi="楷体" w:eastAsia="楷体" w:cs="楷体"/>
          <w:color w:val="auto"/>
          <w:kern w:val="0"/>
          <w:sz w:val="28"/>
          <w:szCs w:val="28"/>
          <w:highlight w:val="none"/>
          <w:lang w:val="en-US" w:eastAsia="zh-CN"/>
        </w:rPr>
      </w:pPr>
      <w:r>
        <w:rPr>
          <w:rFonts w:hint="eastAsia" w:ascii="楷体" w:hAnsi="楷体" w:eastAsia="楷体" w:cs="楷体"/>
          <w:color w:val="auto"/>
          <w:kern w:val="0"/>
          <w:sz w:val="28"/>
          <w:szCs w:val="28"/>
          <w:highlight w:val="none"/>
          <w:lang w:val="en-US" w:eastAsia="zh-CN"/>
        </w:rPr>
        <w:t>4、</w:t>
      </w:r>
      <w:r>
        <w:rPr>
          <w:rFonts w:hint="eastAsia" w:ascii="楷体" w:hAnsi="楷体" w:eastAsia="楷体" w:cs="楷体"/>
          <w:color w:val="auto"/>
          <w:kern w:val="0"/>
          <w:sz w:val="28"/>
          <w:szCs w:val="28"/>
          <w:highlight w:val="none"/>
        </w:rPr>
        <w:t>线上投标文件分为四个部分（扫描PDF版需加盖公司红章），即资质文件、技术标、商务标、三年财务报表各一份。</w:t>
      </w:r>
      <w:r>
        <w:rPr>
          <w:rFonts w:hint="eastAsia" w:ascii="楷体" w:hAnsi="楷体" w:eastAsia="楷体" w:cs="楷体"/>
          <w:color w:val="auto"/>
          <w:kern w:val="0"/>
          <w:sz w:val="28"/>
          <w:szCs w:val="28"/>
          <w:highlight w:val="none"/>
          <w:lang w:eastAsia="zh-CN"/>
        </w:rPr>
        <w:t>其中技术标文件需打印</w:t>
      </w:r>
      <w:r>
        <w:rPr>
          <w:rFonts w:hint="eastAsia" w:ascii="楷体" w:hAnsi="楷体" w:eastAsia="楷体" w:cs="楷体"/>
          <w:color w:val="auto"/>
          <w:kern w:val="0"/>
          <w:sz w:val="28"/>
          <w:szCs w:val="28"/>
          <w:highlight w:val="none"/>
          <w:lang w:val="en-US" w:eastAsia="zh-CN"/>
        </w:rPr>
        <w:t>5份，密封好后在招标时提交招标方</w:t>
      </w:r>
      <w:r>
        <w:rPr>
          <w:rFonts w:hint="eastAsia" w:ascii="楷体" w:hAnsi="楷体" w:eastAsia="楷体" w:cs="楷体"/>
          <w:color w:val="auto"/>
          <w:kern w:val="0"/>
          <w:sz w:val="28"/>
          <w:szCs w:val="28"/>
          <w:highlight w:val="none"/>
          <w:lang w:eastAsia="zh-CN"/>
        </w:rPr>
        <w:t>。</w:t>
      </w:r>
    </w:p>
    <w:p>
      <w:pPr>
        <w:widowControl/>
        <w:ind w:firstLine="560" w:firstLineChars="200"/>
        <w:jc w:val="left"/>
        <w:rPr>
          <w:rFonts w:hint="eastAsia"/>
        </w:rPr>
      </w:pPr>
      <w:r>
        <w:rPr>
          <w:rFonts w:hint="eastAsia" w:ascii="楷体" w:hAnsi="楷体" w:eastAsia="楷体" w:cs="楷体"/>
          <w:color w:val="auto"/>
          <w:kern w:val="0"/>
          <w:sz w:val="28"/>
          <w:szCs w:val="28"/>
          <w:highlight w:val="none"/>
          <w:lang w:val="en-US" w:eastAsia="zh-CN"/>
        </w:rPr>
        <w:t>5、</w:t>
      </w:r>
      <w:r>
        <w:rPr>
          <w:rFonts w:hint="eastAsia" w:ascii="楷体" w:hAnsi="楷体" w:eastAsia="楷体" w:cs="楷体"/>
          <w:color w:val="auto"/>
          <w:kern w:val="0"/>
          <w:sz w:val="28"/>
          <w:szCs w:val="28"/>
          <w:highlight w:val="none"/>
        </w:rPr>
        <w:t>线上投标过程中投标方请注意应标、投标、开标的时间节点，如错过节点将无法进行招标。</w:t>
      </w:r>
    </w:p>
    <w:p>
      <w:pPr>
        <w:widowControl/>
        <w:jc w:val="left"/>
        <w:rPr>
          <w:rFonts w:hint="eastAsia" w:ascii="楷体" w:hAnsi="楷体" w:eastAsia="楷体" w:cs="楷体"/>
          <w:color w:val="auto"/>
          <w:kern w:val="0"/>
          <w:sz w:val="28"/>
          <w:szCs w:val="28"/>
          <w:lang w:eastAsia="zh-CN"/>
        </w:rPr>
      </w:pPr>
      <w:r>
        <w:rPr>
          <w:rFonts w:hint="eastAsia" w:ascii="楷体" w:hAnsi="楷体" w:eastAsia="楷体" w:cs="楷体"/>
          <w:color w:val="auto"/>
          <w:kern w:val="0"/>
          <w:sz w:val="28"/>
          <w:szCs w:val="28"/>
        </w:rPr>
        <w:t>六、</w:t>
      </w:r>
      <w:r>
        <w:rPr>
          <w:rFonts w:hint="eastAsia" w:ascii="楷体" w:hAnsi="楷体" w:eastAsia="楷体" w:cs="楷体"/>
          <w:color w:val="auto"/>
          <w:kern w:val="0"/>
          <w:sz w:val="28"/>
          <w:szCs w:val="28"/>
          <w:lang w:eastAsia="zh-CN"/>
        </w:rPr>
        <w:t>投标保证金：</w:t>
      </w:r>
    </w:p>
    <w:p>
      <w:pPr>
        <w:widowControl/>
        <w:ind w:firstLine="560" w:firstLineChars="200"/>
        <w:jc w:val="left"/>
        <w:rPr>
          <w:rFonts w:hint="eastAsia" w:ascii="楷体" w:hAnsi="楷体" w:eastAsia="楷体" w:cs="楷体"/>
          <w:color w:val="auto"/>
          <w:kern w:val="0"/>
          <w:sz w:val="28"/>
          <w:szCs w:val="28"/>
          <w:highlight w:val="none"/>
          <w:lang w:val="en-US" w:eastAsia="zh-CN"/>
        </w:rPr>
      </w:pPr>
      <w:r>
        <w:rPr>
          <w:rFonts w:hint="eastAsia" w:ascii="楷体" w:hAnsi="楷体" w:eastAsia="楷体" w:cs="楷体"/>
          <w:color w:val="auto"/>
          <w:kern w:val="0"/>
          <w:sz w:val="28"/>
          <w:szCs w:val="28"/>
          <w:highlight w:val="none"/>
          <w:lang w:val="en-US" w:eastAsia="zh-CN"/>
        </w:rPr>
        <w:t>1、投标保证金的金额：10000（壹万元）</w:t>
      </w:r>
    </w:p>
    <w:p>
      <w:pPr>
        <w:widowControl/>
        <w:ind w:firstLine="560" w:firstLineChars="200"/>
        <w:jc w:val="left"/>
        <w:rPr>
          <w:rFonts w:hint="eastAsia" w:ascii="楷体" w:hAnsi="楷体" w:eastAsia="楷体" w:cs="楷体"/>
          <w:color w:val="auto"/>
          <w:kern w:val="0"/>
          <w:sz w:val="28"/>
          <w:szCs w:val="28"/>
          <w:highlight w:val="none"/>
          <w:lang w:val="en-US" w:eastAsia="zh-CN"/>
        </w:rPr>
      </w:pPr>
      <w:r>
        <w:rPr>
          <w:rFonts w:hint="eastAsia" w:ascii="楷体" w:hAnsi="楷体" w:eastAsia="楷体" w:cs="楷体"/>
          <w:color w:val="auto"/>
          <w:kern w:val="0"/>
          <w:sz w:val="28"/>
          <w:szCs w:val="28"/>
          <w:highlight w:val="none"/>
          <w:lang w:val="en-US" w:eastAsia="zh-CN"/>
        </w:rPr>
        <w:t>2、投标方缴纳投标保证金后，将转账凭证扫描件发给项目联系人（投标保证金可以不从基本户转出，但要求账户名和单位名称一致）。</w:t>
      </w:r>
    </w:p>
    <w:p>
      <w:pPr>
        <w:widowControl/>
        <w:ind w:firstLine="560" w:firstLineChars="200"/>
        <w:jc w:val="left"/>
        <w:rPr>
          <w:rFonts w:hint="eastAsia" w:ascii="楷体" w:hAnsi="楷体" w:eastAsia="楷体" w:cs="楷体"/>
          <w:color w:val="auto"/>
          <w:kern w:val="0"/>
          <w:sz w:val="28"/>
          <w:szCs w:val="28"/>
          <w:highlight w:val="none"/>
          <w:lang w:val="en-US" w:eastAsia="zh-CN"/>
        </w:rPr>
      </w:pPr>
      <w:r>
        <w:rPr>
          <w:rFonts w:hint="eastAsia" w:ascii="楷体" w:hAnsi="楷体" w:eastAsia="楷体" w:cs="楷体"/>
          <w:color w:val="auto"/>
          <w:kern w:val="0"/>
          <w:sz w:val="28"/>
          <w:szCs w:val="28"/>
          <w:highlight w:val="none"/>
          <w:lang w:val="en-US" w:eastAsia="zh-CN"/>
        </w:rPr>
        <w:t>3、投标保证金提交截止期限：</w:t>
      </w:r>
      <w:r>
        <w:rPr>
          <w:rFonts w:hint="eastAsia" w:ascii="楷体" w:hAnsi="楷体" w:eastAsia="楷体" w:cs="楷体"/>
          <w:color w:val="000000"/>
          <w:kern w:val="0"/>
          <w:sz w:val="28"/>
          <w:szCs w:val="28"/>
          <w:highlight w:val="none"/>
          <w:lang w:val="en-US" w:eastAsia="zh-CN"/>
        </w:rPr>
        <w:t>2024年9月6</w:t>
      </w:r>
      <w:bookmarkStart w:id="0" w:name="_GoBack"/>
      <w:bookmarkEnd w:id="0"/>
      <w:r>
        <w:rPr>
          <w:rFonts w:hint="eastAsia" w:ascii="楷体" w:hAnsi="楷体" w:eastAsia="楷体" w:cs="楷体"/>
          <w:color w:val="000000"/>
          <w:kern w:val="0"/>
          <w:sz w:val="28"/>
          <w:szCs w:val="28"/>
          <w:highlight w:val="none"/>
          <w:lang w:val="en-US" w:eastAsia="zh-CN"/>
        </w:rPr>
        <w:t>日17:00时（北京时间）</w:t>
      </w:r>
    </w:p>
    <w:p>
      <w:pPr>
        <w:widowControl/>
        <w:ind w:firstLine="560" w:firstLineChars="200"/>
        <w:jc w:val="left"/>
        <w:rPr>
          <w:rFonts w:hint="eastAsia" w:ascii="楷体" w:hAnsi="楷体" w:eastAsia="楷体" w:cs="楷体"/>
          <w:color w:val="auto"/>
          <w:kern w:val="0"/>
          <w:sz w:val="28"/>
          <w:szCs w:val="28"/>
          <w:highlight w:val="none"/>
          <w:lang w:val="en-US" w:eastAsia="zh-CN"/>
        </w:rPr>
      </w:pPr>
      <w:r>
        <w:rPr>
          <w:rFonts w:hint="eastAsia" w:ascii="楷体" w:hAnsi="楷体" w:eastAsia="楷体" w:cs="楷体"/>
          <w:color w:val="auto"/>
          <w:kern w:val="0"/>
          <w:sz w:val="28"/>
          <w:szCs w:val="28"/>
          <w:highlight w:val="none"/>
          <w:lang w:val="en-US" w:eastAsia="zh-CN"/>
        </w:rPr>
        <w:t>4、投标保证金转账至如下账户：</w:t>
      </w:r>
    </w:p>
    <w:p>
      <w:pPr>
        <w:widowControl/>
        <w:ind w:firstLine="560" w:firstLineChars="200"/>
        <w:jc w:val="left"/>
        <w:rPr>
          <w:rFonts w:hint="eastAsia" w:ascii="楷体" w:hAnsi="楷体" w:eastAsia="楷体" w:cs="楷体"/>
          <w:color w:val="auto"/>
          <w:kern w:val="0"/>
          <w:sz w:val="28"/>
          <w:szCs w:val="28"/>
          <w:highlight w:val="none"/>
          <w:lang w:val="en-US" w:eastAsia="zh-CN"/>
        </w:rPr>
      </w:pPr>
      <w:r>
        <w:rPr>
          <w:rFonts w:hint="eastAsia" w:ascii="楷体" w:hAnsi="楷体" w:eastAsia="楷体" w:cs="楷体"/>
          <w:color w:val="auto"/>
          <w:kern w:val="0"/>
          <w:sz w:val="28"/>
          <w:szCs w:val="28"/>
          <w:highlight w:val="none"/>
          <w:lang w:val="en-US" w:eastAsia="zh-CN"/>
        </w:rPr>
        <w:t>开户名称：</w:t>
      </w:r>
      <w:r>
        <w:rPr>
          <w:rFonts w:hint="eastAsia" w:ascii="楷体" w:hAnsi="楷体" w:eastAsia="楷体" w:cs="楷体"/>
          <w:color w:val="auto"/>
          <w:kern w:val="0"/>
          <w:sz w:val="28"/>
          <w:szCs w:val="28"/>
          <w:highlight w:val="none"/>
        </w:rPr>
        <w:t>中国重汽集团济南卡车股份有限公司绵阳分公司</w:t>
      </w:r>
    </w:p>
    <w:p>
      <w:pPr>
        <w:widowControl/>
        <w:ind w:firstLine="560" w:firstLineChars="200"/>
        <w:jc w:val="left"/>
        <w:rPr>
          <w:rFonts w:hint="eastAsia" w:ascii="楷体" w:hAnsi="楷体" w:eastAsia="楷体" w:cs="楷体"/>
          <w:color w:val="auto"/>
          <w:kern w:val="0"/>
          <w:sz w:val="28"/>
          <w:szCs w:val="28"/>
          <w:highlight w:val="none"/>
        </w:rPr>
      </w:pPr>
      <w:r>
        <w:rPr>
          <w:rFonts w:hint="eastAsia" w:ascii="楷体" w:hAnsi="楷体" w:eastAsia="楷体" w:cs="楷体"/>
          <w:color w:val="auto"/>
          <w:kern w:val="0"/>
          <w:sz w:val="28"/>
          <w:szCs w:val="28"/>
          <w:highlight w:val="none"/>
          <w:lang w:val="en-US" w:eastAsia="zh-CN"/>
        </w:rPr>
        <w:t>开户银行：</w:t>
      </w:r>
      <w:r>
        <w:rPr>
          <w:rFonts w:hint="eastAsia" w:ascii="楷体" w:hAnsi="楷体" w:eastAsia="楷体" w:cs="楷体"/>
          <w:color w:val="auto"/>
          <w:kern w:val="0"/>
          <w:sz w:val="28"/>
          <w:szCs w:val="28"/>
          <w:highlight w:val="none"/>
        </w:rPr>
        <w:t>中国银行绵阳高新技术产业开发区支行</w:t>
      </w:r>
    </w:p>
    <w:p>
      <w:pPr>
        <w:widowControl/>
        <w:ind w:firstLine="560" w:firstLineChars="200"/>
        <w:jc w:val="left"/>
        <w:rPr>
          <w:rFonts w:hint="eastAsia" w:ascii="楷体" w:hAnsi="楷体" w:eastAsia="楷体" w:cs="楷体"/>
          <w:color w:val="auto"/>
          <w:kern w:val="0"/>
          <w:sz w:val="28"/>
          <w:szCs w:val="28"/>
          <w:highlight w:val="none"/>
          <w:lang w:val="en-US" w:eastAsia="zh-CN"/>
        </w:rPr>
      </w:pPr>
      <w:r>
        <w:rPr>
          <w:rFonts w:hint="eastAsia" w:ascii="楷体" w:hAnsi="楷体" w:eastAsia="楷体" w:cs="楷体"/>
          <w:color w:val="auto"/>
          <w:kern w:val="0"/>
          <w:sz w:val="28"/>
          <w:szCs w:val="28"/>
          <w:highlight w:val="none"/>
          <w:lang w:val="en-US" w:eastAsia="zh-CN"/>
        </w:rPr>
        <w:t>银行帐号：</w:t>
      </w:r>
      <w:r>
        <w:rPr>
          <w:rFonts w:hint="eastAsia" w:ascii="楷体" w:hAnsi="楷体" w:eastAsia="楷体" w:cs="楷体"/>
          <w:color w:val="auto"/>
          <w:kern w:val="0"/>
          <w:sz w:val="28"/>
          <w:szCs w:val="28"/>
          <w:highlight w:val="none"/>
        </w:rPr>
        <w:t>1158 1123 5239</w:t>
      </w:r>
    </w:p>
    <w:p>
      <w:pPr>
        <w:widowControl/>
        <w:ind w:firstLine="560" w:firstLineChars="200"/>
        <w:jc w:val="left"/>
        <w:rPr>
          <w:rFonts w:hint="default" w:ascii="楷体" w:hAnsi="楷体" w:eastAsia="楷体" w:cs="楷体"/>
          <w:color w:val="auto"/>
          <w:kern w:val="0"/>
          <w:sz w:val="28"/>
          <w:szCs w:val="28"/>
          <w:highlight w:val="none"/>
          <w:lang w:val="en-US" w:eastAsia="zh-CN"/>
        </w:rPr>
      </w:pPr>
      <w:r>
        <w:rPr>
          <w:rFonts w:hint="eastAsia" w:ascii="楷体" w:hAnsi="楷体" w:eastAsia="楷体" w:cs="楷体"/>
          <w:color w:val="auto"/>
          <w:kern w:val="0"/>
          <w:sz w:val="28"/>
          <w:szCs w:val="28"/>
          <w:highlight w:val="none"/>
          <w:lang w:val="en-US" w:eastAsia="zh-CN"/>
        </w:rPr>
        <w:t>财务电话：0816-2577008</w:t>
      </w:r>
    </w:p>
    <w:p>
      <w:pPr>
        <w:widowControl/>
        <w:ind w:firstLine="560" w:firstLineChars="200"/>
        <w:jc w:val="left"/>
        <w:rPr>
          <w:rFonts w:hint="default" w:ascii="楷体" w:hAnsi="楷体" w:eastAsia="楷体" w:cs="楷体"/>
          <w:color w:val="auto"/>
          <w:kern w:val="0"/>
          <w:sz w:val="28"/>
          <w:szCs w:val="28"/>
          <w:highlight w:val="none"/>
          <w:lang w:val="en-US" w:eastAsia="zh-CN"/>
        </w:rPr>
      </w:pPr>
      <w:r>
        <w:rPr>
          <w:rFonts w:hint="eastAsia" w:ascii="楷体" w:hAnsi="楷体" w:eastAsia="楷体" w:cs="楷体"/>
          <w:color w:val="auto"/>
          <w:kern w:val="0"/>
          <w:sz w:val="28"/>
          <w:szCs w:val="28"/>
          <w:highlight w:val="none"/>
          <w:lang w:val="en-US" w:eastAsia="zh-CN"/>
        </w:rPr>
        <w:t>保证金未按上述规定缴纳的，视为自动放弃投标资格（汇款时请备注上：</w:t>
      </w:r>
      <w:r>
        <w:rPr>
          <w:rFonts w:hint="eastAsia" w:ascii="楷体" w:hAnsi="楷体" w:eastAsia="楷体" w:cs="楷体"/>
          <w:b/>
          <w:bCs/>
          <w:color w:val="auto"/>
          <w:kern w:val="0"/>
          <w:sz w:val="28"/>
          <w:szCs w:val="28"/>
          <w:highlight w:val="none"/>
          <w:lang w:val="en-US" w:eastAsia="zh-CN"/>
        </w:rPr>
        <w:t>卡车公司外饰件喷涂项目投标保证金（庄智杰）</w:t>
      </w:r>
      <w:r>
        <w:rPr>
          <w:rFonts w:hint="eastAsia" w:ascii="楷体" w:hAnsi="楷体" w:eastAsia="楷体" w:cs="楷体"/>
          <w:color w:val="auto"/>
          <w:kern w:val="0"/>
          <w:sz w:val="28"/>
          <w:szCs w:val="28"/>
          <w:highlight w:val="none"/>
          <w:lang w:val="en-US" w:eastAsia="zh-CN"/>
        </w:rPr>
        <w:t>）</w:t>
      </w:r>
    </w:p>
    <w:p>
      <w:pPr>
        <w:widowControl/>
        <w:jc w:val="left"/>
        <w:rPr>
          <w:rFonts w:hint="eastAsia" w:ascii="楷体" w:hAnsi="楷体" w:eastAsia="楷体" w:cs="楷体"/>
          <w:color w:val="auto"/>
          <w:kern w:val="0"/>
          <w:sz w:val="28"/>
          <w:szCs w:val="28"/>
        </w:rPr>
      </w:pPr>
      <w:r>
        <w:rPr>
          <w:rFonts w:hint="eastAsia" w:ascii="楷体" w:hAnsi="楷体" w:eastAsia="楷体" w:cs="楷体"/>
          <w:color w:val="auto"/>
          <w:kern w:val="0"/>
          <w:sz w:val="28"/>
          <w:szCs w:val="28"/>
          <w:lang w:eastAsia="zh-CN"/>
        </w:rPr>
        <w:t>七</w:t>
      </w:r>
      <w:r>
        <w:rPr>
          <w:rFonts w:hint="eastAsia" w:ascii="楷体" w:hAnsi="楷体" w:eastAsia="楷体" w:cs="楷体"/>
          <w:color w:val="auto"/>
          <w:kern w:val="0"/>
          <w:sz w:val="28"/>
          <w:szCs w:val="28"/>
        </w:rPr>
        <w:t>、招标方联系方式：</w:t>
      </w:r>
    </w:p>
    <w:p>
      <w:pPr>
        <w:widowControl/>
        <w:ind w:firstLine="560" w:firstLineChars="200"/>
        <w:jc w:val="left"/>
        <w:rPr>
          <w:rFonts w:hint="default" w:ascii="楷体" w:hAnsi="楷体" w:eastAsia="楷体" w:cs="楷体"/>
          <w:color w:val="auto"/>
          <w:kern w:val="0"/>
          <w:sz w:val="28"/>
          <w:szCs w:val="28"/>
          <w:highlight w:val="none"/>
          <w:lang w:val="en-US" w:eastAsia="zh-CN"/>
        </w:rPr>
      </w:pPr>
      <w:r>
        <w:rPr>
          <w:rFonts w:hint="eastAsia" w:ascii="楷体" w:hAnsi="楷体" w:eastAsia="楷体" w:cs="楷体"/>
          <w:color w:val="auto"/>
          <w:kern w:val="0"/>
          <w:sz w:val="28"/>
          <w:szCs w:val="28"/>
        </w:rPr>
        <w:t>联系地址：</w:t>
      </w:r>
      <w:r>
        <w:rPr>
          <w:rFonts w:hint="eastAsia" w:ascii="楷体" w:hAnsi="楷体" w:eastAsia="楷体" w:cs="楷体"/>
          <w:color w:val="auto"/>
          <w:kern w:val="0"/>
          <w:sz w:val="28"/>
          <w:szCs w:val="28"/>
          <w:highlight w:val="none"/>
          <w:lang w:eastAsia="zh-CN"/>
        </w:rPr>
        <w:t>绵阳市高新区辽宁大道</w:t>
      </w:r>
      <w:r>
        <w:rPr>
          <w:rFonts w:hint="eastAsia" w:ascii="楷体" w:hAnsi="楷体" w:eastAsia="楷体" w:cs="楷体"/>
          <w:color w:val="auto"/>
          <w:kern w:val="0"/>
          <w:sz w:val="28"/>
          <w:szCs w:val="28"/>
          <w:highlight w:val="none"/>
          <w:lang w:val="en-US" w:eastAsia="zh-CN"/>
        </w:rPr>
        <w:t>100号二楼制造部</w:t>
      </w:r>
    </w:p>
    <w:p>
      <w:pPr>
        <w:widowControl/>
        <w:jc w:val="center"/>
        <w:rPr>
          <w:rFonts w:hint="eastAsia" w:ascii="楷体" w:hAnsi="楷体" w:eastAsia="楷体" w:cs="楷体"/>
          <w:color w:val="auto"/>
          <w:lang w:val="en-US" w:eastAsia="zh-CN"/>
        </w:rPr>
      </w:pPr>
      <w:r>
        <w:rPr>
          <w:rFonts w:hint="eastAsia" w:ascii="楷体" w:hAnsi="楷体" w:eastAsia="楷体" w:cs="楷体"/>
          <w:color w:val="auto"/>
          <w:kern w:val="0"/>
          <w:sz w:val="28"/>
          <w:szCs w:val="28"/>
        </w:rPr>
        <w:t>电话：</w:t>
      </w:r>
      <w:r>
        <w:rPr>
          <w:rFonts w:hint="eastAsia" w:ascii="楷体" w:hAnsi="楷体" w:eastAsia="楷体" w:cs="楷体"/>
          <w:color w:val="auto"/>
          <w:kern w:val="0"/>
          <w:sz w:val="28"/>
          <w:szCs w:val="28"/>
          <w:lang w:val="en-US" w:eastAsia="zh-CN"/>
        </w:rPr>
        <w:t>2577038</w:t>
      </w:r>
      <w:r>
        <w:rPr>
          <w:rFonts w:hint="eastAsia" w:ascii="楷体" w:hAnsi="楷体" w:eastAsia="楷体" w:cs="楷体"/>
          <w:color w:val="auto"/>
          <w:kern w:val="0"/>
          <w:sz w:val="28"/>
          <w:szCs w:val="28"/>
        </w:rPr>
        <w:t xml:space="preserve">               联系人：</w:t>
      </w:r>
      <w:r>
        <w:rPr>
          <w:rFonts w:hint="eastAsia" w:ascii="楷体" w:hAnsi="楷体" w:eastAsia="楷体" w:cs="楷体"/>
          <w:color w:val="auto"/>
          <w:kern w:val="0"/>
          <w:sz w:val="28"/>
          <w:szCs w:val="28"/>
          <w:lang w:val="en-US" w:eastAsia="zh-CN"/>
        </w:rPr>
        <w:t>庄智杰</w:t>
      </w:r>
    </w:p>
    <w:p>
      <w:pPr>
        <w:pStyle w:val="2"/>
        <w:rPr>
          <w:rFonts w:hint="eastAsia"/>
          <w:color w:val="000000"/>
          <w:highlight w:val="none"/>
        </w:rPr>
      </w:pPr>
    </w:p>
    <w:p>
      <w:pPr>
        <w:rPr>
          <w:rFonts w:hint="eastAsia" w:hAnsi="宋体" w:eastAsia="宋体" w:cs="宋体"/>
          <w:b/>
          <w:bCs/>
          <w:color w:val="000000"/>
          <w:sz w:val="24"/>
          <w:szCs w:val="24"/>
          <w:lang w:val="en-US" w:eastAsia="zh-CN"/>
        </w:rPr>
      </w:pPr>
    </w:p>
    <w:p>
      <w:pPr>
        <w:rPr>
          <w:rFonts w:hint="eastAsia" w:hAnsi="宋体" w:eastAsia="宋体" w:cs="宋体"/>
          <w:b/>
          <w:bCs/>
          <w:color w:val="000000"/>
          <w:sz w:val="24"/>
          <w:szCs w:val="24"/>
          <w:lang w:val="en-US" w:eastAsia="zh-CN"/>
        </w:rPr>
      </w:pPr>
    </w:p>
    <w:p>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附件10</w:t>
      </w:r>
      <w:r>
        <w:rPr>
          <w:rFonts w:hint="eastAsia" w:ascii="宋体" w:hAnsi="宋体" w:eastAsia="宋体" w:cs="宋体"/>
          <w:b/>
          <w:bCs/>
          <w:color w:val="000000"/>
          <w:sz w:val="24"/>
          <w:szCs w:val="24"/>
          <w:lang w:val="en-US" w:eastAsia="zh-CN"/>
        </w:rPr>
        <w:t xml:space="preserve"> SRM非生产供应商注册操作手册</w:t>
      </w:r>
    </w:p>
    <w:p>
      <w:pPr>
        <w:pStyle w:val="9"/>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114300" distR="114300">
            <wp:extent cx="5760085" cy="2933065"/>
            <wp:effectExtent l="0" t="0" r="12065" b="635"/>
            <wp:docPr id="1" name="图片 1" descr="descript"/>
            <wp:cNvGraphicFramePr/>
            <a:graphic xmlns:a="http://schemas.openxmlformats.org/drawingml/2006/main">
              <a:graphicData uri="http://schemas.openxmlformats.org/drawingml/2006/picture">
                <pic:pic xmlns:pic="http://schemas.openxmlformats.org/drawingml/2006/picture">
                  <pic:nvPicPr>
                    <pic:cNvPr id="1" name="图片 1" descr="descript"/>
                    <pic:cNvPicPr/>
                  </pic:nvPicPr>
                  <pic:blipFill>
                    <a:blip r:embed="rId4"/>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114300" distR="114300">
            <wp:extent cx="5760085" cy="2766695"/>
            <wp:effectExtent l="0" t="0" r="12065" b="14605"/>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pic:nvPicPr>
                  <pic:blipFill>
                    <a:blip r:embed="rId5"/>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114300" distR="114300">
            <wp:extent cx="5760085" cy="2869565"/>
            <wp:effectExtent l="0" t="0" r="12065" b="698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6"/>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114300" distR="114300">
            <wp:extent cx="5760085" cy="2853055"/>
            <wp:effectExtent l="0" t="0" r="12065" b="4445"/>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7"/>
                    <a:stretch>
                      <a:fillRect/>
                    </a:stretch>
                  </pic:blipFill>
                  <pic:spPr>
                    <a:xfrm>
                      <a:off x="0" y="0"/>
                      <a:ext cx="5760085" cy="285305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pPr>
        <w:pStyle w:val="9"/>
        <w:rPr>
          <w:rFonts w:hint="default"/>
          <w:lang w:val="en-US" w:eastAsia="zh-CN"/>
        </w:rPr>
      </w:pPr>
    </w:p>
    <w:p>
      <w:pPr>
        <w:snapToGrid/>
        <w:spacing w:before="0" w:after="0" w:line="240" w:lineRule="auto"/>
        <w:ind w:left="0" w:right="0" w:firstLine="0"/>
        <w:jc w:val="both"/>
      </w:pPr>
      <w:r>
        <w:drawing>
          <wp:inline distT="0" distB="0" distL="114300" distR="114300">
            <wp:extent cx="5760085" cy="280987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8"/>
                    <a:stretch>
                      <a:fillRect/>
                    </a:stretch>
                  </pic:blipFill>
                  <pic:spPr>
                    <a:xfrm>
                      <a:off x="0" y="0"/>
                      <a:ext cx="5760085" cy="2809875"/>
                    </a:xfrm>
                    <a:prstGeom prst="rect">
                      <a:avLst/>
                    </a:prstGeom>
                    <a:noFill/>
                    <a:ln>
                      <a:noFill/>
                    </a:ln>
                  </pic:spPr>
                </pic:pic>
              </a:graphicData>
            </a:graphic>
          </wp:inline>
        </w:drawing>
      </w:r>
    </w:p>
    <w:p>
      <w:pPr>
        <w:pStyle w:val="9"/>
      </w:pPr>
      <w:r>
        <w:drawing>
          <wp:inline distT="0" distB="0" distL="114300" distR="114300">
            <wp:extent cx="5760085" cy="2820035"/>
            <wp:effectExtent l="0" t="0" r="12065" b="1841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9"/>
                    <a:stretch>
                      <a:fillRect/>
                    </a:stretch>
                  </pic:blipFill>
                  <pic:spPr>
                    <a:xfrm>
                      <a:off x="0" y="0"/>
                      <a:ext cx="5760085" cy="2820035"/>
                    </a:xfrm>
                    <a:prstGeom prst="rect">
                      <a:avLst/>
                    </a:prstGeom>
                    <a:noFill/>
                    <a:ln>
                      <a:noFill/>
                    </a:ln>
                  </pic:spPr>
                </pic:pic>
              </a:graphicData>
            </a:graphic>
          </wp:inline>
        </w:drawing>
      </w:r>
    </w:p>
    <w:p>
      <w:pPr>
        <w:pStyle w:val="9"/>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pStyle w:val="9"/>
        <w:rPr>
          <w:rFonts w:hint="eastAsia" w:eastAsia="宋体"/>
          <w:lang w:eastAsia="zh-CN"/>
        </w:rPr>
        <w:sectPr>
          <w:pgSz w:w="11906" w:h="16838"/>
          <w:pgMar w:top="1417"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pPr>
        <w:pStyle w:val="9"/>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附件11</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16"/>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16"/>
          <w:rFonts w:hint="eastAsia" w:ascii="宋体" w:hAnsi="宋体" w:eastAsia="宋体" w:cs="宋体"/>
          <w:sz w:val="24"/>
          <w:szCs w:val="24"/>
        </w:rPr>
        <w:fldChar w:fldCharType="begin"/>
      </w:r>
      <w:r>
        <w:rPr>
          <w:rStyle w:val="1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6"/>
          <w:rFonts w:hint="eastAsia" w:ascii="宋体" w:hAnsi="宋体" w:eastAsia="宋体" w:cs="宋体"/>
          <w:sz w:val="24"/>
          <w:szCs w:val="24"/>
        </w:rPr>
        <w:fldChar w:fldCharType="separate"/>
      </w:r>
      <w:r>
        <w:rPr>
          <w:rStyle w:val="16"/>
          <w:rFonts w:hint="eastAsia" w:ascii="宋体" w:hAnsi="宋体" w:eastAsia="宋体" w:cs="宋体"/>
          <w:sz w:val="24"/>
          <w:szCs w:val="24"/>
        </w:rPr>
        <w:t>http://ecaitong.sinotruk.com:8012/</w:t>
      </w:r>
      <w:r>
        <w:rPr>
          <w:rStyle w:val="16"/>
          <w:rFonts w:hint="eastAsia" w:ascii="宋体" w:hAnsi="宋体" w:eastAsia="宋体" w:cs="宋体"/>
          <w:sz w:val="24"/>
          <w:szCs w:val="24"/>
        </w:rPr>
        <w:fldChar w:fldCharType="end"/>
      </w:r>
      <w:r>
        <w:rPr>
          <w:rStyle w:val="16"/>
          <w:rFonts w:hint="eastAsia" w:ascii="宋体" w:hAnsi="宋体" w:eastAsia="宋体" w:cs="宋体"/>
          <w:sz w:val="24"/>
          <w:szCs w:val="24"/>
          <w:lang w:eastAsia="zh-CN"/>
        </w:rPr>
        <w:t>（</w:t>
      </w:r>
      <w:r>
        <w:rPr>
          <w:rStyle w:val="16"/>
          <w:rFonts w:hint="eastAsia" w:ascii="宋体" w:hAnsi="宋体" w:eastAsia="宋体" w:cs="宋体"/>
          <w:sz w:val="24"/>
          <w:szCs w:val="24"/>
          <w:lang w:val="en-US" w:eastAsia="zh-CN"/>
        </w:rPr>
        <w:t>以下内容可能非最新版本，仅供参考，请登录系统网址后，点检查看最新版供应商手册</w:t>
      </w:r>
      <w:r>
        <w:rPr>
          <w:rStyle w:val="16"/>
          <w:rFonts w:hint="eastAsia" w:ascii="宋体" w:hAnsi="宋体" w:eastAsia="宋体" w:cs="宋体"/>
          <w:sz w:val="24"/>
          <w:szCs w:val="24"/>
          <w:lang w:eastAsia="zh-CN"/>
        </w:rPr>
        <w:t>）</w:t>
      </w:r>
    </w:p>
    <w:p>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iT5pX&#10;2gAAAAsBAAAPAAAAAAAAAAEAIAAAACIAAABkcnMvZG93bnJldi54bWxQSwECFAAUAAAACACHTuJA&#10;a/2qSZECAAAEBQAADgAAAAAAAAABACAAAAApAQAAZHJzL2Uyb0RvYy54bWxQSwUGAAAAAAYABgBZ&#10;AQAALAY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067175" cy="4876800"/>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114300" distR="114300">
            <wp:extent cx="5760085" cy="2269490"/>
            <wp:effectExtent l="0" t="0" r="12065" b="16510"/>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11"/>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12065" b="825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12"/>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9"/>
      </w:pP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5240" b="1714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3"/>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5240" b="762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14"/>
                    <a:stretch>
                      <a:fillRect/>
                    </a:stretch>
                  </pic:blipFill>
                  <pic:spPr>
                    <a:xfrm>
                      <a:off x="0" y="0"/>
                      <a:ext cx="5490210" cy="199263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5240" b="8255"/>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pic:nvPicPr>
                  <pic:blipFill>
                    <a:blip r:embed="rId15"/>
                    <a:stretch>
                      <a:fillRect/>
                    </a:stretch>
                  </pic:blipFill>
                  <pic:spPr>
                    <a:xfrm>
                      <a:off x="0" y="0"/>
                      <a:ext cx="5490210" cy="254444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114300" distR="114300">
            <wp:extent cx="5760085" cy="1956435"/>
            <wp:effectExtent l="0" t="0" r="12065" b="571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6"/>
                    <a:stretch>
                      <a:fillRect/>
                    </a:stretch>
                  </pic:blipFill>
                  <pic:spPr>
                    <a:xfrm>
                      <a:off x="0" y="0"/>
                      <a:ext cx="5760085" cy="1956435"/>
                    </a:xfrm>
                    <a:prstGeom prst="rect">
                      <a:avLst/>
                    </a:prstGeom>
                    <a:noFill/>
                    <a:ln>
                      <a:noFill/>
                    </a:ln>
                  </pic:spPr>
                </pic:pic>
              </a:graphicData>
            </a:graphic>
          </wp:inline>
        </w:drawing>
      </w:r>
    </w:p>
    <w:p>
      <w:pPr>
        <w:pStyle w:val="9"/>
        <w:rPr>
          <w:rFonts w:hint="eastAsia" w:hAnsi="宋体" w:eastAsia="宋体" w:cs="Times New Roman"/>
          <w:b/>
          <w:color w:val="000000"/>
          <w:sz w:val="24"/>
          <w:szCs w:val="24"/>
          <w:lang w:val="en-US" w:eastAsia="zh-CN"/>
        </w:rPr>
      </w:pPr>
    </w:p>
    <w:p>
      <w:pPr>
        <w:pStyle w:val="8"/>
        <w:rPr>
          <w:rFonts w:hint="eastAsia" w:ascii="宋体" w:hAnsi="宋体" w:eastAsia="宋体" w:cs="宋体"/>
          <w:color w:val="000000"/>
          <w:sz w:val="21"/>
          <w:szCs w:val="21"/>
          <w:highlight w:val="none"/>
        </w:rPr>
      </w:pPr>
    </w:p>
    <w:p>
      <w:pPr>
        <w:rPr>
          <w:rFonts w:hint="eastAsia" w:ascii="宋体" w:hAnsi="宋体" w:eastAsia="宋体" w:cs="宋体"/>
          <w:color w:val="000000"/>
          <w:sz w:val="21"/>
          <w:szCs w:val="21"/>
          <w:highlight w:val="none"/>
        </w:rPr>
      </w:pPr>
    </w:p>
    <w:p>
      <w:pPr>
        <w:outlineLvl w:val="0"/>
        <w:rPr>
          <w:rFonts w:hint="eastAsia"/>
        </w:rPr>
      </w:pP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mMDU2YzExY2E1Y2Y4NzBiZTk5MWU3ZTZmMTAwZmUifQ=="/>
  </w:docVars>
  <w:rsids>
    <w:rsidRoot w:val="00306CA0"/>
    <w:rsid w:val="00067FAC"/>
    <w:rsid w:val="000A0C12"/>
    <w:rsid w:val="000A760D"/>
    <w:rsid w:val="002C0E22"/>
    <w:rsid w:val="00360B5F"/>
    <w:rsid w:val="0060139B"/>
    <w:rsid w:val="00B55700"/>
    <w:rsid w:val="00C939DE"/>
    <w:rsid w:val="00F25304"/>
    <w:rsid w:val="0140231A"/>
    <w:rsid w:val="01941C29"/>
    <w:rsid w:val="02900CBF"/>
    <w:rsid w:val="02F43EAF"/>
    <w:rsid w:val="03564C06"/>
    <w:rsid w:val="03A50647"/>
    <w:rsid w:val="069D2020"/>
    <w:rsid w:val="0C7C7A78"/>
    <w:rsid w:val="0CA63825"/>
    <w:rsid w:val="0D131D3F"/>
    <w:rsid w:val="0FDA26C5"/>
    <w:rsid w:val="0FF301DB"/>
    <w:rsid w:val="10E9559E"/>
    <w:rsid w:val="12774FB1"/>
    <w:rsid w:val="153C5109"/>
    <w:rsid w:val="1A823B2E"/>
    <w:rsid w:val="1CE3165F"/>
    <w:rsid w:val="1DA85FB6"/>
    <w:rsid w:val="207672EF"/>
    <w:rsid w:val="24151230"/>
    <w:rsid w:val="26227221"/>
    <w:rsid w:val="2A5C1D4D"/>
    <w:rsid w:val="2E02292F"/>
    <w:rsid w:val="2E3658B9"/>
    <w:rsid w:val="3685527B"/>
    <w:rsid w:val="37C32AFA"/>
    <w:rsid w:val="3891383A"/>
    <w:rsid w:val="39716C8F"/>
    <w:rsid w:val="3CE15313"/>
    <w:rsid w:val="3DE43692"/>
    <w:rsid w:val="418C03D5"/>
    <w:rsid w:val="41AE1D18"/>
    <w:rsid w:val="49CE6D52"/>
    <w:rsid w:val="4B9B728F"/>
    <w:rsid w:val="4C1E3B26"/>
    <w:rsid w:val="4C7E128E"/>
    <w:rsid w:val="51920E2E"/>
    <w:rsid w:val="55E22705"/>
    <w:rsid w:val="55E31A80"/>
    <w:rsid w:val="56881D03"/>
    <w:rsid w:val="56F06AA9"/>
    <w:rsid w:val="5955087F"/>
    <w:rsid w:val="5B791868"/>
    <w:rsid w:val="5CE56899"/>
    <w:rsid w:val="5E7513B9"/>
    <w:rsid w:val="5F382A77"/>
    <w:rsid w:val="6310581D"/>
    <w:rsid w:val="64F35AB6"/>
    <w:rsid w:val="65847407"/>
    <w:rsid w:val="69890B27"/>
    <w:rsid w:val="6BAA2C89"/>
    <w:rsid w:val="6E0D2FFC"/>
    <w:rsid w:val="72F81185"/>
    <w:rsid w:val="73303587"/>
    <w:rsid w:val="74644F40"/>
    <w:rsid w:val="75B42299"/>
    <w:rsid w:val="76593A64"/>
    <w:rsid w:val="7C4866FE"/>
    <w:rsid w:val="7E79600D"/>
    <w:rsid w:val="7FA5666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keepNext/>
      <w:keepLines/>
      <w:widowControl w:val="0"/>
      <w:spacing w:before="340" w:after="330" w:line="578" w:lineRule="auto"/>
      <w:outlineLvl w:val="0"/>
    </w:pPr>
    <w:rPr>
      <w:b/>
      <w:bCs/>
      <w:kern w:val="44"/>
      <w:sz w:val="44"/>
    </w:rPr>
  </w:style>
  <w:style w:type="paragraph" w:styleId="5">
    <w:name w:val="heading 2"/>
    <w:basedOn w:val="1"/>
    <w:next w:val="1"/>
    <w:qFormat/>
    <w:uiPriority w:val="0"/>
    <w:pPr>
      <w:keepNext/>
      <w:keepLines/>
      <w:widowControl w:val="0"/>
      <w:spacing w:before="260" w:after="260" w:line="415" w:lineRule="auto"/>
      <w:outlineLvl w:val="1"/>
    </w:pPr>
    <w:rPr>
      <w:rFonts w:ascii="Arial" w:hAnsi="Arial" w:eastAsia="黑体"/>
      <w:b/>
      <w:sz w:val="32"/>
    </w:rPr>
  </w:style>
  <w:style w:type="paragraph" w:styleId="6">
    <w:name w:val="heading 3"/>
    <w:basedOn w:val="1"/>
    <w:next w:val="1"/>
    <w:qFormat/>
    <w:uiPriority w:val="0"/>
    <w:pPr>
      <w:keepNext/>
      <w:keepLines/>
      <w:widowControl w:val="0"/>
      <w:spacing w:before="260" w:after="260" w:line="415" w:lineRule="auto"/>
      <w:outlineLvl w:val="2"/>
    </w:pPr>
    <w:rPr>
      <w:b/>
      <w:sz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5">
    <w:name w:val="Default Paragraph Font"/>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iPriority w:val="0"/>
    <w:pPr>
      <w:widowControl w:val="0"/>
      <w:spacing w:before="100" w:beforeAutospacing="1" w:after="120"/>
      <w:jc w:val="both"/>
    </w:pPr>
    <w:rPr>
      <w:kern w:val="2"/>
      <w:sz w:val="24"/>
      <w:szCs w:val="24"/>
      <w:lang w:val="en-US" w:eastAsia="zh-CN" w:bidi="ar-SA"/>
    </w:rPr>
  </w:style>
  <w:style w:type="paragraph" w:customStyle="1" w:styleId="3">
    <w:name w:val="Default"/>
    <w:qFormat/>
    <w:uiPriority w:val="0"/>
    <w:pPr>
      <w:widowControl w:val="0"/>
      <w:autoSpaceDE w:val="0"/>
      <w:autoSpaceDN w:val="0"/>
      <w:adjustRightInd w:val="0"/>
    </w:pPr>
    <w:rPr>
      <w:rFonts w:ascii="Arial" w:hAnsi="Arial" w:eastAsia="宋体" w:cs="Times New Roman"/>
      <w:color w:val="000000"/>
      <w:sz w:val="24"/>
      <w:szCs w:val="24"/>
      <w:lang w:val="en-US" w:eastAsia="zh-CN" w:bidi="ar-SA"/>
    </w:rPr>
  </w:style>
  <w:style w:type="paragraph" w:styleId="8">
    <w:name w:val="index 6"/>
    <w:basedOn w:val="1"/>
    <w:next w:val="1"/>
    <w:qFormat/>
    <w:uiPriority w:val="0"/>
    <w:pPr>
      <w:widowControl w:val="0"/>
      <w:spacing w:before="100" w:beforeAutospacing="1" w:after="100" w:afterAutospacing="1"/>
      <w:ind w:left="2100"/>
      <w:jc w:val="both"/>
    </w:pPr>
    <w:rPr>
      <w:kern w:val="2"/>
      <w:sz w:val="24"/>
      <w:szCs w:val="24"/>
      <w:lang w:val="en-US" w:eastAsia="zh-CN" w:bidi="ar-SA"/>
    </w:rPr>
  </w:style>
  <w:style w:type="paragraph" w:styleId="9">
    <w:name w:val="Plain Text"/>
    <w:basedOn w:val="1"/>
    <w:qFormat/>
    <w:uiPriority w:val="0"/>
    <w:rPr>
      <w:rFonts w:ascii="宋体" w:hAnsi="Courier New"/>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index 9"/>
    <w:next w:val="1"/>
    <w:qFormat/>
    <w:uiPriority w:val="0"/>
    <w:pPr>
      <w:widowControl w:val="0"/>
      <w:ind w:left="3360"/>
      <w:jc w:val="both"/>
    </w:pPr>
    <w:rPr>
      <w:rFonts w:ascii="Times New Roman" w:hAnsi="Times New Roman" w:eastAsia="宋体" w:cs="Times New Roman"/>
      <w:kern w:val="2"/>
      <w:sz w:val="24"/>
      <w:szCs w:val="24"/>
      <w:lang w:val="en-US" w:eastAsia="zh-CN" w:bidi="ar-SA"/>
    </w:rPr>
  </w:style>
  <w:style w:type="paragraph" w:styleId="13">
    <w:name w:val="Normal (Web)"/>
    <w:basedOn w:val="1"/>
    <w:qFormat/>
    <w:uiPriority w:val="0"/>
    <w:pPr>
      <w:widowControl/>
      <w:spacing w:before="100" w:beforeAutospacing="1" w:after="100" w:afterAutospacing="1"/>
      <w:jc w:val="left"/>
    </w:pPr>
    <w:rPr>
      <w:rFonts w:ascii="宋体" w:eastAsia="宋体" w:cs="宋体"/>
      <w:kern w:val="0"/>
      <w:sz w:val="24"/>
      <w:szCs w:val="24"/>
      <w:lang w:bidi="ar-SA"/>
    </w:rPr>
  </w:style>
  <w:style w:type="character" w:styleId="16">
    <w:name w:val="Hyperlink"/>
    <w:qFormat/>
    <w:uiPriority w:val="0"/>
    <w:rPr>
      <w:color w:val="0000FF"/>
      <w:u w:val="single"/>
    </w:rPr>
  </w:style>
  <w:style w:type="paragraph" w:customStyle="1" w:styleId="17">
    <w:name w:val="1"/>
    <w:basedOn w:val="1"/>
    <w:qFormat/>
    <w:uiPriority w:val="0"/>
    <w:pPr>
      <w:widowControl/>
      <w:spacing w:before="100" w:beforeAutospacing="1" w:after="100" w:afterAutospacing="1"/>
      <w:jc w:val="left"/>
    </w:pPr>
    <w:rPr>
      <w:rFonts w:ascii="宋体" w:eastAsia="宋体" w:cs="宋体"/>
      <w:kern w:val="0"/>
      <w:sz w:val="24"/>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1520</Words>
  <Characters>1582</Characters>
  <Lines>8</Lines>
  <Paragraphs>2</Paragraphs>
  <TotalTime>24</TotalTime>
  <ScaleCrop>false</ScaleCrop>
  <LinksUpToDate>false</LinksUpToDate>
  <CharactersWithSpaces>1655</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2022-05-07T01:28:00Z</dcterms:created>
  <dc:creator>曹烨</dc:creator>
  <cp:lastModifiedBy>Administrator</cp:lastModifiedBy>
  <dcterms:modified xsi:type="dcterms:W3CDTF">2024-08-31T00:34:06Z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C613BB2BE1F8487C821D0559CCFBE830_13</vt:lpwstr>
  </property>
</Properties>
</file>