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pPr>
        <w:pStyle w:val="2"/>
        <w:jc w:val="center"/>
        <w:rPr>
          <w:rFonts w:hint="default"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改造涂装线三维升降平台项目</w:t>
      </w:r>
    </w:p>
    <w:p>
      <w:pPr>
        <w:jc w:val="center"/>
        <w:rPr>
          <w:rFonts w:hint="eastAsia" w:ascii="黑体" w:hAnsi="宋体" w:eastAsia="黑体"/>
          <w:sz w:val="56"/>
          <w:szCs w:val="84"/>
        </w:rPr>
      </w:pPr>
    </w:p>
    <w:p>
      <w:pPr>
        <w:pStyle w:val="2"/>
        <w:rPr>
          <w:rFonts w:hint="eastAsia"/>
        </w:rPr>
      </w:pPr>
    </w:p>
    <w:p>
      <w:pPr>
        <w:pStyle w:val="2"/>
        <w:rPr>
          <w:rFonts w:hint="eastAsia"/>
        </w:rPr>
      </w:pPr>
    </w:p>
    <w:p>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招</w:t>
      </w:r>
    </w:p>
    <w:p>
      <w:pPr>
        <w:jc w:val="center"/>
        <w:rPr>
          <w:rFonts w:hint="eastAsia" w:ascii="宋体" w:hAnsi="宋体" w:cs="Times New Roman"/>
          <w:color w:val="auto"/>
          <w:kern w:val="2"/>
          <w:sz w:val="44"/>
          <w:szCs w:val="48"/>
          <w:lang w:val="en-US" w:eastAsia="zh-CN" w:bidi="ar-SA"/>
        </w:rPr>
      </w:pPr>
    </w:p>
    <w:p>
      <w:pPr>
        <w:pStyle w:val="2"/>
        <w:rPr>
          <w:rFonts w:hint="eastAsia"/>
          <w:lang w:val="en-US" w:eastAsia="zh-CN"/>
        </w:rPr>
      </w:pPr>
    </w:p>
    <w:p>
      <w:pPr>
        <w:pStyle w:val="2"/>
        <w:rPr>
          <w:rFonts w:hint="eastAsia"/>
          <w:lang w:val="en-US" w:eastAsia="zh-CN"/>
        </w:rPr>
      </w:pPr>
    </w:p>
    <w:p>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标</w:t>
      </w:r>
    </w:p>
    <w:p>
      <w:pPr>
        <w:jc w:val="center"/>
        <w:rPr>
          <w:rFonts w:hint="eastAsia" w:ascii="宋体" w:hAnsi="宋体" w:eastAsia="宋体" w:cs="Times New Roman"/>
          <w:color w:val="auto"/>
          <w:kern w:val="2"/>
          <w:sz w:val="44"/>
          <w:szCs w:val="48"/>
          <w:lang w:val="en-US" w:eastAsia="zh-CN" w:bidi="ar-SA"/>
        </w:rPr>
      </w:pPr>
    </w:p>
    <w:p>
      <w:pPr>
        <w:pStyle w:val="2"/>
        <w:rPr>
          <w:rFonts w:hint="eastAsia"/>
          <w:lang w:val="en-US" w:eastAsia="zh-CN"/>
        </w:rPr>
      </w:pPr>
    </w:p>
    <w:p>
      <w:pPr>
        <w:pStyle w:val="2"/>
        <w:rPr>
          <w:rFonts w:hint="eastAsia"/>
          <w:lang w:val="en-US" w:eastAsia="zh-CN"/>
        </w:rPr>
      </w:pPr>
    </w:p>
    <w:p>
      <w:pPr>
        <w:jc w:val="center"/>
        <w:rPr>
          <w:rFonts w:ascii="黑体" w:hAnsi="宋体" w:eastAsia="黑体"/>
          <w:sz w:val="56"/>
          <w:szCs w:val="84"/>
        </w:rPr>
      </w:pPr>
      <w:r>
        <w:rPr>
          <w:rFonts w:hint="eastAsia" w:ascii="宋体" w:hAnsi="宋体" w:eastAsia="宋体" w:cs="Times New Roman"/>
          <w:color w:val="auto"/>
          <w:kern w:val="2"/>
          <w:sz w:val="44"/>
          <w:szCs w:val="48"/>
          <w:lang w:val="en-US" w:eastAsia="zh-CN" w:bidi="ar-SA"/>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pStyle w:val="2"/>
        <w:rPr>
          <w:rFonts w:ascii="华文仿宋" w:hAnsi="华文仿宋" w:eastAsia="华文仿宋"/>
          <w:sz w:val="32"/>
          <w:szCs w:val="28"/>
        </w:rPr>
      </w:pPr>
    </w:p>
    <w:p>
      <w:pPr>
        <w:pStyle w:val="2"/>
        <w:rPr>
          <w:rFonts w:ascii="华文仿宋" w:hAnsi="华文仿宋" w:eastAsia="华文仿宋"/>
          <w:sz w:val="32"/>
          <w:szCs w:val="28"/>
        </w:rPr>
      </w:pPr>
    </w:p>
    <w:p>
      <w:pPr>
        <w:jc w:val="left"/>
        <w:rPr>
          <w:rFonts w:ascii="华文仿宋" w:hAnsi="华文仿宋" w:eastAsia="华文仿宋"/>
          <w:sz w:val="32"/>
          <w:szCs w:val="28"/>
        </w:rPr>
      </w:pPr>
    </w:p>
    <w:p>
      <w:pPr>
        <w:pStyle w:val="2"/>
      </w:pPr>
    </w:p>
    <w:p>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p>
    <w:p>
      <w:pPr>
        <w:pStyle w:val="2"/>
        <w:rPr>
          <w:rFonts w:ascii="宋体" w:hAnsi="宋体"/>
          <w:b/>
          <w:bCs/>
          <w:sz w:val="48"/>
          <w:szCs w:val="48"/>
        </w:rPr>
      </w:pPr>
    </w:p>
    <w:p>
      <w:pPr>
        <w:spacing w:line="480" w:lineRule="auto"/>
        <w:jc w:val="center"/>
        <w:rPr>
          <w:rFonts w:ascii="宋体" w:hAnsi="宋体"/>
          <w:b/>
          <w:bCs/>
          <w:sz w:val="48"/>
          <w:szCs w:val="48"/>
        </w:rPr>
      </w:pPr>
      <w:r>
        <w:rPr>
          <w:rFonts w:ascii="宋体" w:hAnsi="宋体"/>
          <w:b/>
          <w:bCs/>
          <w:sz w:val="48"/>
          <w:szCs w:val="48"/>
        </w:rPr>
        <w:t>目   录</w:t>
      </w: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pStyle w:val="15"/>
      </w:pPr>
      <w:r>
        <w:rPr>
          <w:rFonts w:hint="eastAsia"/>
        </w:rPr>
        <w:t>第一章 招标公告</w:t>
      </w:r>
    </w:p>
    <w:p>
      <w:pPr>
        <w:pStyle w:val="15"/>
      </w:pPr>
    </w:p>
    <w:p>
      <w:pPr>
        <w:pStyle w:val="15"/>
      </w:pPr>
      <w:r>
        <w:rPr>
          <w:rFonts w:hint="eastAsia"/>
        </w:rPr>
        <w:t>第</w:t>
      </w:r>
      <w:r>
        <w:rPr>
          <w:rFonts w:hint="eastAsia"/>
          <w:lang w:eastAsia="zh-CN"/>
        </w:rPr>
        <w:t>二</w:t>
      </w:r>
      <w:r>
        <w:rPr>
          <w:rFonts w:hint="eastAsia"/>
        </w:rPr>
        <w:t>章  技术协议书</w:t>
      </w:r>
    </w:p>
    <w:p>
      <w:pPr>
        <w:rPr>
          <w:rFonts w:hint="eastAsia"/>
        </w:rPr>
      </w:pPr>
    </w:p>
    <w:p>
      <w:pPr>
        <w:rPr>
          <w:rFonts w:hint="eastAsia"/>
        </w:rPr>
      </w:pPr>
    </w:p>
    <w:p>
      <w:pPr>
        <w:pStyle w:val="15"/>
        <w:numPr>
          <w:ilvl w:val="0"/>
          <w:numId w:val="1"/>
        </w:numPr>
        <w:rPr>
          <w:rFonts w:hint="eastAsia"/>
        </w:rPr>
      </w:pPr>
      <w:r>
        <w:rPr>
          <w:rFonts w:hint="eastAsia"/>
        </w:rPr>
        <w:t xml:space="preserve"> 合同模板</w:t>
      </w: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pPr>
        <w:pStyle w:val="15"/>
        <w:rPr>
          <w:rFonts w:hint="eastAsia"/>
        </w:rPr>
      </w:pPr>
    </w:p>
    <w:p>
      <w:pPr>
        <w:pStyle w:val="15"/>
      </w:pPr>
    </w:p>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pPr>
        <w:pStyle w:val="10"/>
        <w:numPr>
          <w:ilvl w:val="0"/>
          <w:numId w:val="2"/>
        </w:numPr>
        <w:spacing w:line="360" w:lineRule="auto"/>
        <w:rPr>
          <w:rFonts w:ascii="黑体" w:eastAsia="黑体"/>
          <w:b/>
          <w:bCs/>
          <w:sz w:val="28"/>
        </w:rPr>
      </w:pPr>
      <w:r>
        <w:rPr>
          <w:rFonts w:hint="eastAsia" w:ascii="黑体" w:eastAsia="黑体"/>
          <w:b/>
          <w:bCs/>
          <w:sz w:val="28"/>
        </w:rPr>
        <w:t>项目名称</w:t>
      </w:r>
    </w:p>
    <w:p>
      <w:pPr>
        <w:ind w:firstLine="420" w:firstLineChars="200"/>
        <w:rPr>
          <w:rFonts w:hint="default"/>
          <w:lang w:val="en-US"/>
        </w:rPr>
      </w:pPr>
      <w:r>
        <w:rPr>
          <w:rFonts w:hint="eastAsia"/>
        </w:rPr>
        <w:t>项目名称：</w:t>
      </w:r>
      <w:bookmarkStart w:id="0" w:name="OLE_LINK1"/>
      <w:r>
        <w:rPr>
          <w:rFonts w:hint="eastAsia"/>
          <w:lang w:eastAsia="zh-CN"/>
        </w:rPr>
        <w:t>改造涂装线三维升降平台项目</w:t>
      </w:r>
    </w:p>
    <w:bookmarkEnd w:id="0"/>
    <w:p>
      <w:pPr>
        <w:pStyle w:val="10"/>
        <w:numPr>
          <w:ilvl w:val="0"/>
          <w:numId w:val="2"/>
        </w:numPr>
        <w:spacing w:line="360" w:lineRule="auto"/>
        <w:rPr>
          <w:rFonts w:ascii="黑体" w:eastAsia="黑体"/>
          <w:b/>
          <w:bCs/>
          <w:sz w:val="28"/>
        </w:rPr>
      </w:pPr>
      <w:r>
        <w:rPr>
          <w:rFonts w:hint="eastAsia" w:ascii="黑体" w:eastAsia="黑体"/>
          <w:b/>
          <w:bCs/>
          <w:sz w:val="28"/>
        </w:rPr>
        <w:t>招标内容</w:t>
      </w:r>
    </w:p>
    <w:p>
      <w:pPr>
        <w:pStyle w:val="10"/>
        <w:numPr>
          <w:ilvl w:val="0"/>
          <w:numId w:val="0"/>
        </w:numPr>
        <w:spacing w:line="360" w:lineRule="auto"/>
        <w:ind w:leftChars="200"/>
        <w:rPr>
          <w:rFonts w:hint="default" w:eastAsia="宋体"/>
          <w:spacing w:val="-1"/>
          <w:lang w:val="en-US" w:eastAsia="zh-CN"/>
        </w:rPr>
      </w:pPr>
      <w:r>
        <w:rPr>
          <w:spacing w:val="-1"/>
        </w:rPr>
        <w:t>导轨式液压升降平台</w:t>
      </w:r>
      <w:r>
        <w:rPr>
          <w:rFonts w:hint="eastAsia"/>
          <w:spacing w:val="-1"/>
          <w:lang w:eastAsia="zh-CN"/>
        </w:rPr>
        <w:t>，</w:t>
      </w:r>
      <w:r>
        <w:rPr>
          <w:rFonts w:hint="eastAsia"/>
          <w:spacing w:val="-1"/>
          <w:lang w:val="en-US" w:eastAsia="zh-CN"/>
        </w:rPr>
        <w:t>详细技术参数见第二章，技术协议书</w:t>
      </w:r>
    </w:p>
    <w:p>
      <w:pPr>
        <w:pStyle w:val="10"/>
        <w:numPr>
          <w:ilvl w:val="0"/>
          <w:numId w:val="2"/>
        </w:numPr>
        <w:spacing w:line="360" w:lineRule="auto"/>
        <w:rPr>
          <w:rFonts w:ascii="黑体" w:eastAsia="黑体"/>
          <w:b/>
          <w:bCs/>
          <w:sz w:val="28"/>
        </w:rPr>
      </w:pPr>
      <w:r>
        <w:rPr>
          <w:rFonts w:hint="eastAsia" w:ascii="黑体" w:eastAsia="黑体"/>
          <w:b/>
          <w:bCs/>
          <w:sz w:val="28"/>
        </w:rPr>
        <w:t>招标形式</w:t>
      </w:r>
    </w:p>
    <w:p>
      <w:pPr>
        <w:pStyle w:val="10"/>
        <w:spacing w:line="360" w:lineRule="auto"/>
        <w:ind w:firstLine="420" w:firstLineChars="200"/>
        <w:rPr>
          <w:rFonts w:hint="eastAsia" w:eastAsia="宋体"/>
          <w:lang w:eastAsia="zh-CN"/>
        </w:rPr>
      </w:pPr>
      <w:r>
        <w:rPr>
          <w:rFonts w:hint="eastAsia"/>
        </w:rPr>
        <w:t>招标形式：</w:t>
      </w:r>
      <w:r>
        <w:rPr>
          <w:rFonts w:hint="eastAsia"/>
          <w:lang w:eastAsia="zh-CN"/>
        </w:rPr>
        <w:t>公开招标</w:t>
      </w:r>
    </w:p>
    <w:p>
      <w:pPr>
        <w:pStyle w:val="10"/>
        <w:numPr>
          <w:ilvl w:val="0"/>
          <w:numId w:val="2"/>
        </w:numPr>
        <w:spacing w:line="360" w:lineRule="auto"/>
        <w:rPr>
          <w:rFonts w:ascii="黑体" w:eastAsia="黑体"/>
          <w:b/>
          <w:bCs/>
          <w:sz w:val="28"/>
        </w:rPr>
      </w:pPr>
      <w:r>
        <w:rPr>
          <w:rFonts w:hint="eastAsia" w:ascii="黑体" w:eastAsia="黑体"/>
          <w:b/>
          <w:bCs/>
          <w:sz w:val="28"/>
        </w:rPr>
        <w:t>议程安排</w:t>
      </w:r>
    </w:p>
    <w:p>
      <w:pPr>
        <w:pStyle w:val="10"/>
        <w:numPr>
          <w:ilvl w:val="0"/>
          <w:numId w:val="3"/>
        </w:numPr>
        <w:spacing w:line="360" w:lineRule="auto"/>
        <w:ind w:left="420"/>
        <w:rPr>
          <w:b/>
          <w:bCs/>
        </w:rPr>
      </w:pPr>
      <w:r>
        <w:rPr>
          <w:rFonts w:hint="eastAsia"/>
          <w:b/>
          <w:bCs/>
        </w:rPr>
        <w:t>答疑时间：</w:t>
      </w:r>
      <w:r>
        <w:rPr>
          <w:rFonts w:hint="eastAsia"/>
        </w:rPr>
        <w:t>截止至202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24</w:t>
      </w:r>
      <w:r>
        <w:rPr>
          <w:rFonts w:hint="eastAsia"/>
        </w:rPr>
        <w:t>日下午</w:t>
      </w:r>
      <w:r>
        <w:t>17</w:t>
      </w:r>
      <w:r>
        <w:rPr>
          <w:rFonts w:hint="eastAsia"/>
        </w:rPr>
        <w:t>点前</w:t>
      </w:r>
    </w:p>
    <w:p>
      <w:pPr>
        <w:pStyle w:val="10"/>
        <w:numPr>
          <w:ilvl w:val="0"/>
          <w:numId w:val="3"/>
        </w:numPr>
        <w:spacing w:line="360" w:lineRule="auto"/>
        <w:ind w:left="420"/>
        <w:rPr>
          <w:rFonts w:hint="eastAsia"/>
          <w:b/>
          <w:bCs/>
        </w:rPr>
      </w:pPr>
      <w:r>
        <w:rPr>
          <w:rFonts w:hint="eastAsia"/>
          <w:b/>
          <w:bCs/>
        </w:rPr>
        <w:t>答疑方式：电话答疑。</w:t>
      </w:r>
    </w:p>
    <w:p>
      <w:pPr>
        <w:pStyle w:val="10"/>
        <w:numPr>
          <w:ilvl w:val="0"/>
          <w:numId w:val="3"/>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202</w:t>
      </w:r>
      <w:r>
        <w:rPr>
          <w:rFonts w:hint="eastAsia"/>
          <w:highlight w:val="none"/>
          <w:lang w:val="en-US" w:eastAsia="zh-CN"/>
        </w:rPr>
        <w:t>4</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25 </w:t>
      </w:r>
      <w:r>
        <w:rPr>
          <w:rFonts w:hint="eastAsia"/>
          <w:highlight w:val="none"/>
          <w:lang w:val="en-US" w:eastAsia="zh-CN"/>
        </w:rPr>
        <w:tab/>
      </w:r>
      <w:r>
        <w:rPr>
          <w:rFonts w:hint="eastAsia"/>
          <w:highlight w:val="none"/>
        </w:rPr>
        <w:t>日上午9点开标。</w:t>
      </w:r>
      <w:r>
        <w:rPr>
          <w:rFonts w:hint="eastAsia"/>
          <w:highlight w:val="none"/>
          <w:lang w:eastAsia="zh-CN"/>
        </w:rPr>
        <w:t>（暂定</w:t>
      </w:r>
      <w:r>
        <w:rPr>
          <w:rFonts w:hint="eastAsia"/>
          <w:highlight w:val="none"/>
          <w:lang w:val="en-US" w:eastAsia="zh-CN"/>
        </w:rPr>
        <w:t>,</w:t>
      </w:r>
      <w:r>
        <w:rPr>
          <w:rFonts w:hint="eastAsia"/>
          <w:color w:val="FF0000"/>
          <w:highlight w:val="yellow"/>
          <w:lang w:val="en-US" w:eastAsia="zh-CN"/>
        </w:rPr>
        <w:t>以电话通知为准</w:t>
      </w:r>
      <w:r>
        <w:rPr>
          <w:rFonts w:hint="eastAsia"/>
          <w:highlight w:val="none"/>
          <w:lang w:eastAsia="zh-CN"/>
        </w:rPr>
        <w:t>）</w:t>
      </w:r>
    </w:p>
    <w:p>
      <w:pPr>
        <w:pStyle w:val="10"/>
        <w:numPr>
          <w:ilvl w:val="0"/>
          <w:numId w:val="3"/>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5864774483</w:t>
      </w:r>
    </w:p>
    <w:p>
      <w:pPr>
        <w:pStyle w:val="10"/>
        <w:numPr>
          <w:ilvl w:val="0"/>
          <w:numId w:val="3"/>
        </w:numPr>
        <w:spacing w:line="360" w:lineRule="auto"/>
        <w:ind w:left="420" w:leftChars="0" w:firstLine="0" w:firstLineChars="0"/>
        <w:rPr>
          <w:rFonts w:hint="eastAsia"/>
          <w:highlight w:val="none"/>
          <w:lang w:val="en-US" w:eastAsia="zh-CN"/>
        </w:rPr>
      </w:pPr>
      <w:r>
        <w:rPr>
          <w:rFonts w:hint="eastAsia"/>
          <w:b/>
          <w:bCs/>
          <w:highlight w:val="none"/>
          <w:lang w:eastAsia="zh-CN"/>
        </w:rPr>
        <w:t>投标邮箱：</w:t>
      </w:r>
      <w:r>
        <w:rPr>
          <w:rFonts w:hint="eastAsia"/>
          <w:b/>
          <w:bCs/>
          <w:sz w:val="28"/>
          <w:szCs w:val="24"/>
          <w:highlight w:val="none"/>
          <w:lang w:val="en-US" w:eastAsia="zh-CN"/>
        </w:rPr>
        <w:t>wyzz</w:t>
      </w:r>
      <w:r>
        <w:rPr>
          <w:rFonts w:hint="eastAsia"/>
          <w:b/>
          <w:bCs/>
          <w:sz w:val="28"/>
          <w:szCs w:val="24"/>
          <w:highlight w:val="none"/>
          <w:lang w:eastAsia="zh-CN"/>
        </w:rPr>
        <w:t>@sinotruk.com</w:t>
      </w:r>
      <w:r>
        <w:rPr>
          <w:rFonts w:hint="eastAsia"/>
          <w:highlight w:val="none"/>
        </w:rPr>
        <w:t xml:space="preserve">  </w:t>
      </w:r>
      <w:r>
        <w:rPr>
          <w:rFonts w:hint="eastAsia"/>
          <w:highlight w:val="none"/>
          <w:lang w:val="en-US" w:eastAsia="zh-CN"/>
        </w:rPr>
        <w:t xml:space="preserve">  </w:t>
      </w:r>
    </w:p>
    <w:p>
      <w:pPr>
        <w:pStyle w:val="10"/>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pPr>
        <w:pStyle w:val="10"/>
        <w:spacing w:line="360" w:lineRule="auto"/>
        <w:ind w:firstLine="422" w:firstLineChars="200"/>
        <w:rPr>
          <w:b/>
        </w:rPr>
      </w:pPr>
      <w:r>
        <w:rPr>
          <w:rFonts w:hint="eastAsia"/>
          <w:b/>
        </w:rPr>
        <w:t>1.合格投标人：</w:t>
      </w:r>
    </w:p>
    <w:p>
      <w:pPr>
        <w:pStyle w:val="10"/>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pStyle w:val="10"/>
        <w:numPr>
          <w:ilvl w:val="0"/>
          <w:numId w:val="0"/>
        </w:numPr>
        <w:spacing w:line="360" w:lineRule="auto"/>
        <w:ind w:left="380" w:leftChars="0"/>
        <w:rPr>
          <w:rFonts w:hint="eastAsia" w:eastAsia="微软雅黑"/>
          <w:b/>
          <w:bCs/>
          <w:highlight w:val="yellow"/>
          <w:lang w:val="en-US" w:eastAsia="zh-CN"/>
        </w:rPr>
      </w:pPr>
      <w:r>
        <w:rPr>
          <w:rFonts w:hint="eastAsia"/>
          <w:b/>
          <w:bCs/>
          <w:highlight w:val="yellow"/>
        </w:rPr>
        <w:t>*⑵</w:t>
      </w:r>
      <w:r>
        <w:rPr>
          <w:rFonts w:ascii="微软雅黑" w:hAnsi="微软雅黑" w:eastAsia="微软雅黑" w:cs="微软雅黑"/>
          <w:i w:val="0"/>
          <w:caps w:val="0"/>
          <w:color w:val="000000"/>
          <w:spacing w:val="0"/>
          <w:sz w:val="24"/>
          <w:szCs w:val="24"/>
          <w:highlight w:val="yellow"/>
          <w:shd w:val="clear" w:fill="FCFCFC"/>
        </w:rPr>
        <w:t>具有相关平台制作资质</w:t>
      </w:r>
      <w:r>
        <w:rPr>
          <w:rFonts w:hint="eastAsia" w:ascii="微软雅黑" w:hAnsi="微软雅黑" w:eastAsia="微软雅黑" w:cs="微软雅黑"/>
          <w:i w:val="0"/>
          <w:iCs w:val="0"/>
          <w:caps w:val="0"/>
          <w:color w:val="000000"/>
          <w:spacing w:val="0"/>
          <w:kern w:val="0"/>
          <w:sz w:val="24"/>
          <w:szCs w:val="24"/>
          <w:highlight w:val="yellow"/>
          <w:lang w:val="en-US" w:eastAsia="zh-CN" w:bidi="ar"/>
        </w:rPr>
        <w:t>、注册资金50万元以上、截止至2024年5月1日成立满三年以上</w:t>
      </w:r>
      <w:r>
        <w:rPr>
          <w:rFonts w:hint="eastAsia"/>
          <w:b/>
          <w:bCs/>
          <w:highlight w:val="yellow"/>
        </w:rPr>
        <w:t>；</w:t>
      </w:r>
    </w:p>
    <w:p>
      <w:pPr>
        <w:pStyle w:val="10"/>
        <w:spacing w:line="360" w:lineRule="auto"/>
        <w:ind w:firstLine="282" w:firstLineChars="134"/>
        <w:rPr>
          <w:rFonts w:hint="eastAsia"/>
          <w:b/>
          <w:bCs/>
        </w:rPr>
      </w:pPr>
      <w:r>
        <w:rPr>
          <w:rFonts w:hint="eastAsia"/>
          <w:b/>
          <w:bCs/>
        </w:rPr>
        <w:t>*⑶投标人须提供具有统一社会信用代码的新版营业执照副本原件或复印件；</w:t>
      </w:r>
    </w:p>
    <w:p>
      <w:pPr>
        <w:pStyle w:val="10"/>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pPr>
        <w:pStyle w:val="10"/>
        <w:spacing w:line="360" w:lineRule="auto"/>
        <w:ind w:firstLine="420" w:firstLineChars="200"/>
      </w:pPr>
      <w:r>
        <w:rPr>
          <w:rFonts w:hint="eastAsia"/>
        </w:rPr>
        <w:t>⑸投标人在近三年内在经营活动中无违法记录。</w:t>
      </w:r>
    </w:p>
    <w:p>
      <w:pPr>
        <w:pStyle w:val="10"/>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pPr>
        <w:pStyle w:val="10"/>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10"/>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p>
    <w:p>
      <w:pPr>
        <w:pStyle w:val="10"/>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p>
    <w:p>
      <w:pPr>
        <w:pStyle w:val="10"/>
        <w:spacing w:line="360" w:lineRule="auto"/>
        <w:ind w:firstLine="420" w:firstLineChars="200"/>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p>
    <w:p>
      <w:pPr>
        <w:pStyle w:val="10"/>
        <w:spacing w:line="360" w:lineRule="auto"/>
        <w:ind w:firstLine="420" w:firstLineChars="200"/>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p>
    <w:p>
      <w:pPr>
        <w:pStyle w:val="10"/>
        <w:spacing w:line="360" w:lineRule="auto"/>
        <w:ind w:firstLine="420" w:firstLineChars="200"/>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p>
    <w:p>
      <w:pPr>
        <w:pStyle w:val="10"/>
        <w:spacing w:line="360" w:lineRule="auto"/>
        <w:rPr>
          <w:b/>
        </w:rPr>
      </w:pPr>
      <w:r>
        <w:rPr>
          <w:rFonts w:hint="eastAsia"/>
          <w:b/>
        </w:rPr>
        <w:t>2.投标文件格式组成</w:t>
      </w:r>
    </w:p>
    <w:p>
      <w:pPr>
        <w:pStyle w:val="10"/>
        <w:spacing w:line="360" w:lineRule="auto"/>
        <w:ind w:firstLine="422" w:firstLineChars="200"/>
        <w:rPr>
          <w:rFonts w:hint="eastAsia"/>
          <w:b/>
          <w:color w:val="auto"/>
          <w:highlight w:val="none"/>
          <w:lang w:val="en-US" w:eastAsia="zh-CN"/>
        </w:rPr>
      </w:pPr>
      <w:bookmarkStart w:id="1" w:name="_Toc37685731"/>
      <w:r>
        <w:rPr>
          <w:rFonts w:hint="eastAsia"/>
          <w:b/>
          <w:color w:val="auto"/>
          <w:highlight w:val="none"/>
          <w:lang w:val="en-US" w:eastAsia="zh-CN"/>
        </w:rPr>
        <w:t>2.4</w:t>
      </w:r>
      <w:r>
        <w:rPr>
          <w:rFonts w:hint="eastAsia"/>
          <w:b/>
          <w:color w:val="auto"/>
          <w:lang w:val="en-US" w:eastAsia="zh-CN"/>
        </w:rPr>
        <w:t>投标报价表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pPr>
        <w:pStyle w:val="10"/>
        <w:spacing w:line="360" w:lineRule="auto"/>
        <w:ind w:firstLine="422" w:firstLineChars="200"/>
        <w:rPr>
          <w:rFonts w:hint="default"/>
          <w:b/>
          <w:color w:val="auto"/>
          <w:lang w:val="en-US" w:eastAsia="zh-CN"/>
        </w:rPr>
      </w:pPr>
      <w:r>
        <w:rPr>
          <w:rFonts w:hint="eastAsia"/>
          <w:b/>
          <w:color w:val="auto"/>
          <w:lang w:val="en-US" w:eastAsia="zh-CN"/>
        </w:rPr>
        <w:t>2.5配件品牌（附件二）</w:t>
      </w:r>
    </w:p>
    <w:p>
      <w:pPr>
        <w:pStyle w:val="10"/>
        <w:spacing w:line="360" w:lineRule="auto"/>
        <w:ind w:firstLine="422" w:firstLineChars="200"/>
        <w:rPr>
          <w:rFonts w:hint="eastAsia"/>
          <w:b/>
          <w:color w:val="auto"/>
          <w:lang w:val="en-US" w:eastAsia="zh-CN"/>
        </w:rPr>
      </w:pPr>
      <w:r>
        <w:rPr>
          <w:rFonts w:hint="eastAsia"/>
          <w:b/>
          <w:color w:val="auto"/>
          <w:lang w:val="en-US" w:eastAsia="zh-CN"/>
        </w:rPr>
        <w:t>2.5其他文件（</w:t>
      </w:r>
      <w:r>
        <w:rPr>
          <w:rFonts w:hint="eastAsia"/>
          <w:b/>
          <w:color w:val="auto"/>
          <w:highlight w:val="none"/>
          <w:lang w:val="en-US" w:eastAsia="zh-CN"/>
        </w:rPr>
        <w:t>附件三）</w:t>
      </w:r>
    </w:p>
    <w:p>
      <w:pPr>
        <w:pStyle w:val="10"/>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pPr>
        <w:pStyle w:val="10"/>
        <w:numPr>
          <w:ilvl w:val="255"/>
          <w:numId w:val="0"/>
        </w:numPr>
        <w:spacing w:line="360" w:lineRule="auto"/>
        <w:rPr>
          <w:b/>
        </w:rPr>
      </w:pPr>
      <w:r>
        <w:rPr>
          <w:rFonts w:hint="eastAsia"/>
          <w:b/>
        </w:rPr>
        <w:t xml:space="preserve">3、报价： </w:t>
      </w:r>
    </w:p>
    <w:p>
      <w:pPr>
        <w:pStyle w:val="10"/>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为公开招标，</w:t>
      </w:r>
      <w:r>
        <w:rPr>
          <w:rFonts w:hint="eastAsia"/>
          <w:lang w:eastAsia="zh-CN"/>
        </w:rPr>
        <w:t>依据技术协议要求内容，进行报价。</w:t>
      </w:r>
    </w:p>
    <w:p>
      <w:pPr>
        <w:pStyle w:val="10"/>
        <w:numPr>
          <w:ilvl w:val="255"/>
          <w:numId w:val="0"/>
        </w:numPr>
        <w:spacing w:line="360" w:lineRule="auto"/>
        <w:ind w:left="420"/>
        <w:rPr>
          <w:highlight w:val="yellow"/>
        </w:rPr>
      </w:pPr>
      <w:r>
        <w:rPr>
          <w:rFonts w:hint="eastAsia"/>
        </w:rPr>
        <w:t>2.所有报价货币单位均为：元（人民币），含税</w:t>
      </w:r>
      <w:r>
        <w:rPr>
          <w:rFonts w:hint="eastAsia"/>
          <w:lang w:eastAsia="zh-CN"/>
        </w:rPr>
        <w:t>，含运费</w:t>
      </w:r>
      <w:r>
        <w:rPr>
          <w:rFonts w:hint="eastAsia"/>
        </w:rPr>
        <w:t>；</w:t>
      </w:r>
    </w:p>
    <w:p>
      <w:pPr>
        <w:spacing w:line="360" w:lineRule="auto"/>
        <w:ind w:firstLine="420" w:firstLineChars="200"/>
        <w:jc w:val="left"/>
        <w:rPr>
          <w:rFonts w:hint="eastAsia" w:eastAsia="宋体"/>
          <w:highlight w:val="yellow"/>
          <w:lang w:eastAsia="zh-CN"/>
        </w:rPr>
      </w:pPr>
      <w:bookmarkStart w:id="3" w:name="_GoBack"/>
      <w:r>
        <w:rPr>
          <w:rFonts w:hint="eastAsia"/>
          <w:highlight w:val="yellow"/>
        </w:rPr>
        <w:t>3.结算方式：</w:t>
      </w:r>
      <w:r>
        <w:rPr>
          <w:rFonts w:hint="eastAsia"/>
          <w:highlight w:val="yellow"/>
          <w:lang w:eastAsia="zh-CN"/>
        </w:rPr>
        <w:t>电汇</w:t>
      </w:r>
    </w:p>
    <w:bookmarkEnd w:id="3"/>
    <w:p>
      <w:pPr>
        <w:spacing w:line="360" w:lineRule="auto"/>
        <w:ind w:firstLine="420" w:firstLineChars="200"/>
        <w:jc w:val="left"/>
        <w:rPr>
          <w:rFonts w:hint="eastAsia" w:cs="Times New Roman"/>
          <w:highlight w:val="none"/>
          <w:lang w:eastAsia="zh-CN"/>
        </w:rPr>
      </w:pPr>
      <w:r>
        <w:rPr>
          <w:rFonts w:hint="eastAsia" w:ascii="Times New Roman" w:hAnsi="Times New Roman" w:cs="Times New Roman"/>
          <w:highlight w:val="none"/>
          <w:lang w:val="en-US" w:eastAsia="zh-CN"/>
        </w:rPr>
        <w:t>1、</w:t>
      </w:r>
      <w:r>
        <w:rPr>
          <w:rFonts w:hint="eastAsia" w:cs="Times New Roman"/>
          <w:highlight w:val="none"/>
          <w:lang w:eastAsia="zh-CN"/>
        </w:rPr>
        <w:t>电机维修</w:t>
      </w:r>
      <w:r>
        <w:rPr>
          <w:rFonts w:hint="eastAsia" w:ascii="Times New Roman" w:hAnsi="Times New Roman" w:cs="Times New Roman"/>
          <w:highlight w:val="none"/>
          <w:lang w:eastAsia="zh-CN"/>
        </w:rPr>
        <w:t>完毕，经甲方验收合格后，甲方出具书面验收单，乙方提供含税13％的全额增值税专用发票，依照公司财务制度审核无误挂账后次月支付</w:t>
      </w:r>
      <w:r>
        <w:rPr>
          <w:rFonts w:hint="eastAsia" w:ascii="Times New Roman" w:hAnsi="Times New Roman" w:cs="Times New Roman"/>
          <w:highlight w:val="none"/>
          <w:lang w:val="en-US" w:eastAsia="zh-CN"/>
        </w:rPr>
        <w:t>95%</w:t>
      </w:r>
      <w:r>
        <w:rPr>
          <w:rFonts w:hint="eastAsia" w:cs="Times New Roman"/>
          <w:highlight w:val="none"/>
          <w:lang w:eastAsia="zh-CN"/>
        </w:rPr>
        <w:t>。</w:t>
      </w:r>
    </w:p>
    <w:p>
      <w:pPr>
        <w:spacing w:line="360" w:lineRule="auto"/>
        <w:ind w:firstLine="420" w:firstLineChars="200"/>
        <w:jc w:val="left"/>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2、</w:t>
      </w:r>
      <w:r>
        <w:rPr>
          <w:rFonts w:hint="eastAsia" w:ascii="Times New Roman" w:hAnsi="Times New Roman" w:cs="Times New Roman"/>
          <w:highlight w:val="none"/>
          <w:lang w:eastAsia="zh-CN"/>
        </w:rPr>
        <w:t>剩余价款的</w:t>
      </w:r>
      <w:r>
        <w:rPr>
          <w:rFonts w:hint="eastAsia" w:ascii="Times New Roman" w:hAnsi="Times New Roman" w:cs="Times New Roman"/>
          <w:highlight w:val="none"/>
          <w:lang w:val="en-US" w:eastAsia="zh-CN"/>
        </w:rPr>
        <w:t>5</w:t>
      </w:r>
      <w:r>
        <w:rPr>
          <w:rFonts w:hint="eastAsia" w:ascii="Times New Roman" w:hAnsi="Times New Roman" w:cs="Times New Roman"/>
          <w:highlight w:val="none"/>
          <w:lang w:eastAsia="zh-CN"/>
        </w:rPr>
        <w:t xml:space="preserve">%作为质量保证金，质量保证金在本合同约定的质量保证期内不计利息，待设备质量保证期满后，经甲方依照财务制度审核无误后 </w:t>
      </w:r>
      <w:r>
        <w:rPr>
          <w:rFonts w:hint="eastAsia" w:ascii="Times New Roman" w:hAnsi="Times New Roman" w:cs="Times New Roman"/>
          <w:highlight w:val="none"/>
          <w:lang w:val="en-US" w:eastAsia="zh-CN"/>
        </w:rPr>
        <w:t>30</w:t>
      </w:r>
      <w:r>
        <w:rPr>
          <w:rFonts w:hint="eastAsia" w:ascii="Times New Roman" w:hAnsi="Times New Roman" w:cs="Times New Roman"/>
          <w:highlight w:val="none"/>
          <w:lang w:eastAsia="zh-CN"/>
        </w:rPr>
        <w:t xml:space="preserve"> 日内支付；如有质量问题，质量保证金予以扣除。</w:t>
      </w:r>
    </w:p>
    <w:p>
      <w:pPr>
        <w:pStyle w:val="10"/>
        <w:numPr>
          <w:ilvl w:val="255"/>
          <w:numId w:val="0"/>
        </w:numPr>
        <w:spacing w:line="360" w:lineRule="auto"/>
        <w:rPr>
          <w:b/>
        </w:rPr>
      </w:pPr>
      <w:r>
        <w:rPr>
          <w:rFonts w:hint="eastAsia"/>
          <w:b/>
          <w:lang w:val="en-US" w:eastAsia="zh-CN"/>
        </w:rPr>
        <w:t>4</w:t>
      </w:r>
      <w:r>
        <w:rPr>
          <w:rFonts w:hint="eastAsia"/>
          <w:b/>
        </w:rPr>
        <w:t>、其他</w:t>
      </w:r>
    </w:p>
    <w:p>
      <w:pPr>
        <w:pStyle w:val="10"/>
        <w:spacing w:line="360" w:lineRule="auto"/>
        <w:ind w:firstLine="420" w:firstLineChars="200"/>
      </w:pPr>
      <w:r>
        <w:rPr>
          <w:rFonts w:hint="eastAsia"/>
        </w:rPr>
        <w:t>投标人须认可招标人由于招标人上级集团公司政策变化引起的随时终止合同的要求。</w:t>
      </w:r>
    </w:p>
    <w:p>
      <w:pPr>
        <w:pStyle w:val="10"/>
        <w:numPr>
          <w:ilvl w:val="255"/>
          <w:numId w:val="0"/>
        </w:numPr>
        <w:spacing w:line="360" w:lineRule="auto"/>
        <w:rPr>
          <w:rFonts w:ascii="黑体" w:eastAsia="黑体"/>
          <w:b/>
          <w:bCs/>
          <w:sz w:val="28"/>
        </w:rPr>
      </w:pPr>
      <w:r>
        <w:rPr>
          <w:rFonts w:hint="eastAsia" w:ascii="黑体" w:eastAsia="黑体"/>
          <w:b/>
          <w:bCs/>
          <w:sz w:val="28"/>
        </w:rPr>
        <w:t>七、开标、评标</w:t>
      </w:r>
    </w:p>
    <w:p>
      <w:pPr>
        <w:pStyle w:val="10"/>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pPr>
        <w:pStyle w:val="10"/>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共同开标，投标方进行报价，并由组织方进行报价汇总，确定中标乙方。</w:t>
      </w:r>
    </w:p>
    <w:p>
      <w:pPr>
        <w:pStyle w:val="10"/>
        <w:spacing w:line="360" w:lineRule="auto"/>
        <w:ind w:firstLine="420" w:firstLineChars="200"/>
        <w:rPr>
          <w:rFonts w:hint="eastAsia"/>
        </w:rPr>
      </w:pPr>
      <w:r>
        <w:rPr>
          <w:rFonts w:hint="eastAsia"/>
        </w:rPr>
        <w:t>(</w:t>
      </w:r>
      <w:r>
        <w:rPr>
          <w:rFonts w:hint="eastAsia"/>
          <w:lang w:val="en-US" w:eastAsia="zh-CN"/>
        </w:rPr>
        <w:t>2</w:t>
      </w:r>
      <w:r>
        <w:rPr>
          <w:rFonts w:hint="eastAsia"/>
        </w:rPr>
        <w:t>)所有报价货币单位均为：元（人民币，含税）。</w:t>
      </w:r>
    </w:p>
    <w:p>
      <w:pPr>
        <w:pStyle w:val="10"/>
        <w:spacing w:line="360" w:lineRule="auto"/>
        <w:ind w:firstLine="420" w:firstLineChars="200"/>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产品质量保证期为24个月。</w:t>
      </w:r>
    </w:p>
    <w:p>
      <w:pPr>
        <w:pStyle w:val="10"/>
        <w:spacing w:line="360" w:lineRule="auto"/>
        <w:rPr>
          <w:rFonts w:ascii="黑体" w:eastAsia="黑体"/>
          <w:b/>
          <w:bCs/>
          <w:sz w:val="28"/>
        </w:rPr>
      </w:pPr>
      <w:r>
        <w:rPr>
          <w:rFonts w:hint="eastAsia" w:ascii="黑体" w:eastAsia="黑体"/>
          <w:b/>
          <w:bCs/>
          <w:sz w:val="28"/>
        </w:rPr>
        <w:t>八、合同签订</w:t>
      </w:r>
    </w:p>
    <w:p>
      <w:pPr>
        <w:pStyle w:val="10"/>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pPr>
        <w:pStyle w:val="10"/>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10"/>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10"/>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pPr>
        <w:pStyle w:val="10"/>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10"/>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pPr>
        <w:pStyle w:val="10"/>
        <w:spacing w:line="360" w:lineRule="auto"/>
        <w:ind w:firstLine="420" w:firstLineChars="200"/>
        <w:rPr>
          <w:szCs w:val="21"/>
        </w:rPr>
      </w:pPr>
      <w:r>
        <w:rPr>
          <w:rFonts w:hint="eastAsia"/>
        </w:rPr>
        <w:t>7.中标人须认可招标人由于招标人上级集团公司政策变化引起的随时终止项目的要求。</w:t>
      </w:r>
    </w:p>
    <w:p>
      <w:pPr>
        <w:pStyle w:val="10"/>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pPr>
        <w:spacing w:line="520" w:lineRule="exact"/>
        <w:ind w:right="2" w:firstLine="420" w:firstLineChars="200"/>
        <w:rPr>
          <w:rFonts w:ascii="宋体"/>
        </w:rPr>
      </w:pPr>
      <w:r>
        <w:rPr>
          <w:rFonts w:hint="eastAsia" w:ascii="宋体"/>
        </w:rPr>
        <w:t>⑵投标人在报价有效期内撤回投标；</w:t>
      </w:r>
    </w:p>
    <w:p>
      <w:pPr>
        <w:spacing w:line="520" w:lineRule="exact"/>
        <w:ind w:right="2" w:firstLine="420" w:firstLineChars="200"/>
        <w:rPr>
          <w:rFonts w:ascii="宋体"/>
        </w:rPr>
      </w:pPr>
      <w:r>
        <w:rPr>
          <w:rFonts w:hint="eastAsia" w:ascii="宋体"/>
        </w:rPr>
        <w:t>⑶在整个评标过程中，投标人有企图影响评标结果公正性的任何活动；</w:t>
      </w:r>
    </w:p>
    <w:p>
      <w:pPr>
        <w:spacing w:line="520" w:lineRule="exact"/>
        <w:ind w:right="2" w:firstLine="420" w:firstLineChars="200"/>
        <w:rPr>
          <w:rFonts w:ascii="宋体"/>
        </w:rPr>
      </w:pPr>
      <w:r>
        <w:rPr>
          <w:rFonts w:hint="eastAsia" w:ascii="宋体"/>
        </w:rPr>
        <w:t>⑷投标人以任何方式诋毁其他投标人；</w:t>
      </w:r>
    </w:p>
    <w:p>
      <w:pPr>
        <w:spacing w:line="520" w:lineRule="exact"/>
        <w:ind w:right="2" w:firstLine="420" w:firstLineChars="200"/>
        <w:rPr>
          <w:rFonts w:ascii="宋体"/>
        </w:rPr>
      </w:pPr>
      <w:r>
        <w:rPr>
          <w:rFonts w:hint="eastAsia" w:ascii="宋体"/>
        </w:rPr>
        <w:t>⑸投标人串通投标；</w:t>
      </w:r>
    </w:p>
    <w:p>
      <w:pPr>
        <w:spacing w:line="520" w:lineRule="exact"/>
        <w:ind w:right="2" w:firstLine="420" w:firstLineChars="200"/>
        <w:rPr>
          <w:rFonts w:ascii="宋体"/>
        </w:rPr>
      </w:pPr>
      <w:r>
        <w:rPr>
          <w:rFonts w:hint="eastAsia" w:ascii="宋体"/>
        </w:rPr>
        <w:t>⑹以他人名义投标或者以其他方式弄虚作假，骗取中标的；</w:t>
      </w:r>
    </w:p>
    <w:p>
      <w:pPr>
        <w:spacing w:line="520" w:lineRule="exact"/>
        <w:ind w:right="2" w:firstLine="420" w:firstLineChars="200"/>
        <w:rPr>
          <w:rFonts w:ascii="宋体"/>
        </w:rPr>
      </w:pPr>
      <w:r>
        <w:rPr>
          <w:rFonts w:hint="eastAsia" w:ascii="宋体"/>
        </w:rPr>
        <w:t>⑺中标人不按规定签订合同；</w:t>
      </w:r>
    </w:p>
    <w:p>
      <w:pPr>
        <w:spacing w:line="520" w:lineRule="exact"/>
        <w:ind w:right="2" w:firstLine="420" w:firstLineChars="200"/>
        <w:rPr>
          <w:rFonts w:ascii="宋体"/>
        </w:rPr>
      </w:pPr>
      <w:r>
        <w:rPr>
          <w:rFonts w:hint="eastAsia" w:ascii="宋体"/>
        </w:rPr>
        <w:t>⑻法律、法规规定的其他情况。</w:t>
      </w:r>
    </w:p>
    <w:p>
      <w:pPr>
        <w:spacing w:line="520" w:lineRule="exact"/>
        <w:ind w:right="2" w:firstLine="420" w:firstLineChars="200"/>
        <w:rPr>
          <w:rFonts w:ascii="宋体"/>
        </w:rPr>
      </w:pPr>
      <w:r>
        <w:rPr>
          <w:rFonts w:hint="eastAsia" w:ascii="宋体"/>
        </w:rPr>
        <w:t>2.出现下列情形之一，招标人有权否决所有投标人的投标，并终止招标。</w:t>
      </w:r>
    </w:p>
    <w:p>
      <w:pPr>
        <w:spacing w:line="520" w:lineRule="exact"/>
        <w:ind w:right="2" w:firstLine="420" w:firstLineChars="200"/>
        <w:rPr>
          <w:rFonts w:ascii="宋体"/>
        </w:rPr>
      </w:pPr>
      <w:r>
        <w:rPr>
          <w:rFonts w:hint="eastAsia" w:ascii="宋体"/>
        </w:rPr>
        <w:t>⑴出现影响采购公正的违法、违规行为的。</w:t>
      </w:r>
    </w:p>
    <w:p>
      <w:pPr>
        <w:spacing w:line="520" w:lineRule="exact"/>
        <w:ind w:right="2" w:firstLine="420" w:firstLineChars="200"/>
        <w:rPr>
          <w:rFonts w:ascii="宋体"/>
        </w:rPr>
      </w:pPr>
      <w:r>
        <w:rPr>
          <w:rFonts w:hint="eastAsia" w:ascii="宋体"/>
        </w:rPr>
        <w:t>⑵因重大变故，采购任务取消的。</w:t>
      </w:r>
    </w:p>
    <w:p>
      <w:pPr>
        <w:spacing w:line="520" w:lineRule="exact"/>
        <w:ind w:right="2" w:firstLine="420" w:firstLineChars="200"/>
        <w:rPr>
          <w:rFonts w:ascii="宋体"/>
        </w:rPr>
      </w:pPr>
      <w:r>
        <w:rPr>
          <w:rFonts w:hint="eastAsia" w:ascii="宋体"/>
        </w:rPr>
        <w:t>⑶招标人认为其他应终止招标的情形。</w:t>
      </w:r>
    </w:p>
    <w:p>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pPr>
        <w:pStyle w:val="10"/>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pPr>
        <w:pStyle w:val="10"/>
        <w:numPr>
          <w:ilvl w:val="0"/>
          <w:numId w:val="4"/>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10"/>
        <w:numPr>
          <w:ilvl w:val="0"/>
          <w:numId w:val="4"/>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pPr>
        <w:rPr>
          <w:rFonts w:eastAsia="黑体"/>
          <w:color w:val="00B050"/>
          <w:sz w:val="36"/>
          <w:szCs w:val="36"/>
        </w:rPr>
      </w:pPr>
    </w:p>
    <w:bookmarkEnd w:id="1"/>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pStyle w:val="10"/>
        <w:spacing w:line="360" w:lineRule="auto"/>
        <w:jc w:val="both"/>
        <w:rPr>
          <w:rFonts w:hint="eastAsia" w:ascii="黑体" w:eastAsia="黑体"/>
          <w:b/>
          <w:bCs/>
          <w:sz w:val="36"/>
          <w:szCs w:val="36"/>
        </w:rPr>
      </w:pPr>
    </w:p>
    <w:p>
      <w:pPr>
        <w:pStyle w:val="10"/>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pPr>
        <w:pStyle w:val="10"/>
        <w:spacing w:line="360" w:lineRule="auto"/>
        <w:rPr>
          <w:rFonts w:hint="eastAsia" w:ascii="宋体" w:hAnsi="宋体" w:eastAsia="宋体" w:cs="Times New Roman"/>
          <w:kern w:val="2"/>
          <w:sz w:val="24"/>
          <w:szCs w:val="24"/>
          <w:highlight w:val="none"/>
          <w:lang w:val="en-US" w:eastAsia="zh-CN" w:bidi="ar-SA"/>
        </w:rPr>
      </w:pPr>
      <w:r>
        <w:rPr>
          <w:rFonts w:hint="eastAsia" w:ascii="黑体" w:hAnsi="黑体" w:eastAsia="黑体"/>
          <w:b/>
          <w:bCs/>
          <w:sz w:val="28"/>
          <w:szCs w:val="28"/>
        </w:rPr>
        <w:t>一、项目名称</w:t>
      </w:r>
    </w:p>
    <w:p>
      <w:pPr>
        <w:ind w:firstLine="420" w:firstLineChars="200"/>
        <w:rPr>
          <w:rFonts w:hint="default"/>
          <w:lang w:val="en-US"/>
        </w:rPr>
      </w:pPr>
      <w:r>
        <w:rPr>
          <w:rFonts w:hint="eastAsia"/>
        </w:rPr>
        <w:t>项目名称：</w:t>
      </w:r>
      <w:r>
        <w:rPr>
          <w:rFonts w:hint="eastAsia"/>
          <w:lang w:eastAsia="zh-CN"/>
        </w:rPr>
        <w:t>改造涂装线三维升降平台项目</w:t>
      </w:r>
    </w:p>
    <w:p>
      <w:pPr>
        <w:pStyle w:val="10"/>
        <w:numPr>
          <w:ilvl w:val="0"/>
          <w:numId w:val="5"/>
        </w:numPr>
        <w:spacing w:line="360" w:lineRule="auto"/>
        <w:rPr>
          <w:rFonts w:hint="eastAsia" w:ascii="黑体" w:hAnsi="黑体" w:eastAsia="黑体"/>
          <w:b/>
          <w:bCs/>
          <w:sz w:val="28"/>
          <w:szCs w:val="28"/>
        </w:rPr>
      </w:pPr>
      <w:r>
        <w:rPr>
          <w:rFonts w:hint="eastAsia" w:ascii="黑体" w:hAnsi="黑体" w:eastAsia="黑体"/>
          <w:b/>
          <w:bCs/>
          <w:sz w:val="28"/>
          <w:szCs w:val="28"/>
          <w:lang w:eastAsia="zh-CN"/>
        </w:rPr>
        <w:t>项目</w:t>
      </w:r>
      <w:r>
        <w:rPr>
          <w:rFonts w:hint="eastAsia" w:ascii="黑体" w:hAnsi="黑体" w:eastAsia="黑体"/>
          <w:b/>
          <w:bCs/>
          <w:sz w:val="28"/>
          <w:szCs w:val="28"/>
        </w:rPr>
        <w:t>内容</w:t>
      </w:r>
    </w:p>
    <w:p>
      <w:pPr>
        <w:pStyle w:val="10"/>
        <w:numPr>
          <w:ilvl w:val="0"/>
          <w:numId w:val="0"/>
        </w:numPr>
        <w:spacing w:line="360" w:lineRule="auto"/>
        <w:ind w:leftChars="200"/>
        <w:rPr>
          <w:rFonts w:hint="eastAsia"/>
          <w:b/>
          <w:bCs/>
          <w:spacing w:val="-1"/>
          <w:lang w:val="en-US" w:eastAsia="zh-CN"/>
        </w:rPr>
      </w:pPr>
      <w:r>
        <w:rPr>
          <w:rFonts w:hint="eastAsia"/>
          <w:b/>
          <w:bCs/>
          <w:spacing w:val="-1"/>
          <w:lang w:val="en-US" w:eastAsia="zh-CN"/>
        </w:rPr>
        <w:t>设备名称</w:t>
      </w:r>
    </w:p>
    <w:p>
      <w:pPr>
        <w:pStyle w:val="10"/>
        <w:numPr>
          <w:ilvl w:val="0"/>
          <w:numId w:val="0"/>
        </w:numPr>
        <w:spacing w:line="360" w:lineRule="auto"/>
        <w:ind w:leftChars="200"/>
        <w:rPr>
          <w:spacing w:val="-1"/>
        </w:rPr>
      </w:pPr>
      <w:r>
        <w:rPr>
          <w:spacing w:val="-1"/>
        </w:rPr>
        <w:t>导轨式液压升降平台</w:t>
      </w:r>
    </w:p>
    <w:p>
      <w:pPr>
        <w:pStyle w:val="10"/>
        <w:numPr>
          <w:ilvl w:val="0"/>
          <w:numId w:val="0"/>
        </w:numPr>
        <w:spacing w:line="360" w:lineRule="auto"/>
        <w:ind w:leftChars="200"/>
        <w:rPr>
          <w:rFonts w:hint="eastAsia"/>
          <w:b/>
          <w:bCs/>
          <w:spacing w:val="-1"/>
          <w:lang w:val="en-US" w:eastAsia="zh-CN"/>
        </w:rPr>
      </w:pPr>
      <w:r>
        <w:rPr>
          <w:rFonts w:hint="eastAsia"/>
          <w:b/>
          <w:bCs/>
          <w:spacing w:val="-1"/>
          <w:lang w:val="en-US" w:eastAsia="zh-CN"/>
        </w:rPr>
        <w:t>设备数量</w:t>
      </w:r>
    </w:p>
    <w:p>
      <w:pPr>
        <w:pStyle w:val="10"/>
        <w:numPr>
          <w:ilvl w:val="0"/>
          <w:numId w:val="0"/>
        </w:numPr>
        <w:spacing w:line="360" w:lineRule="auto"/>
        <w:ind w:leftChars="200"/>
        <w:rPr>
          <w:rFonts w:hint="default"/>
          <w:spacing w:val="-1"/>
          <w:lang w:val="en-US" w:eastAsia="zh-CN"/>
        </w:rPr>
      </w:pPr>
      <w:r>
        <w:rPr>
          <w:rFonts w:hint="eastAsia"/>
          <w:spacing w:val="-1"/>
          <w:lang w:val="en-US" w:eastAsia="zh-CN"/>
        </w:rPr>
        <w:t>三台</w:t>
      </w:r>
    </w:p>
    <w:p>
      <w:pPr>
        <w:pStyle w:val="10"/>
        <w:numPr>
          <w:numId w:val="0"/>
        </w:numPr>
        <w:spacing w:line="360" w:lineRule="auto"/>
        <w:ind w:leftChars="200"/>
        <w:rPr>
          <w:rFonts w:hint="default"/>
          <w:b/>
          <w:bCs/>
          <w:spacing w:val="-1"/>
          <w:lang w:val="en-US" w:eastAsia="zh-CN"/>
        </w:rPr>
      </w:pPr>
      <w:r>
        <w:rPr>
          <w:rFonts w:hint="eastAsia"/>
          <w:b/>
          <w:bCs/>
          <w:spacing w:val="-1"/>
          <w:lang w:val="en-US" w:eastAsia="zh-CN"/>
        </w:rPr>
        <w:t>设备参数及配置</w:t>
      </w:r>
    </w:p>
    <w:p>
      <w:pPr>
        <w:pStyle w:val="10"/>
        <w:numPr>
          <w:ilvl w:val="0"/>
          <w:numId w:val="6"/>
        </w:numPr>
        <w:spacing w:line="360" w:lineRule="auto"/>
        <w:ind w:left="0" w:leftChars="0" w:firstLine="418" w:firstLineChars="200"/>
        <w:rPr>
          <w:rFonts w:hint="eastAsia"/>
          <w:b/>
          <w:bCs/>
          <w:spacing w:val="-1"/>
          <w:lang w:val="en-US" w:eastAsia="zh-CN"/>
        </w:rPr>
      </w:pPr>
      <w:r>
        <w:rPr>
          <w:rFonts w:hint="eastAsia"/>
          <w:b/>
          <w:bCs/>
          <w:spacing w:val="-1"/>
          <w:lang w:val="en-US" w:eastAsia="zh-CN"/>
        </w:rPr>
        <w:t>产品技术参数</w:t>
      </w:r>
    </w:p>
    <w:tbl>
      <w:tblPr>
        <w:tblStyle w:val="63"/>
        <w:tblW w:w="8719" w:type="dxa"/>
        <w:tblInd w:w="3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7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82" w:type="dxa"/>
            <w:vAlign w:val="top"/>
          </w:tcPr>
          <w:p>
            <w:pPr>
              <w:pStyle w:val="62"/>
              <w:spacing w:before="148" w:line="221" w:lineRule="auto"/>
              <w:ind w:left="118"/>
              <w:jc w:val="center"/>
            </w:pPr>
            <w:r>
              <w:rPr>
                <w:spacing w:val="-4"/>
              </w:rPr>
              <w:t>设备名称</w:t>
            </w:r>
          </w:p>
        </w:tc>
        <w:tc>
          <w:tcPr>
            <w:tcW w:w="7537" w:type="dxa"/>
            <w:vAlign w:val="top"/>
          </w:tcPr>
          <w:p>
            <w:pPr>
              <w:pStyle w:val="62"/>
              <w:spacing w:before="148" w:line="219" w:lineRule="auto"/>
              <w:ind w:left="120"/>
              <w:jc w:val="center"/>
              <w:rPr>
                <w:rFonts w:hint="eastAsia" w:eastAsia="宋体"/>
                <w:lang w:eastAsia="zh-CN"/>
              </w:rPr>
            </w:pPr>
            <w:r>
              <w:rPr>
                <w:rFonts w:hint="eastAsia"/>
                <w:spacing w:val="-2"/>
                <w:lang w:eastAsia="zh-CN"/>
              </w:rPr>
              <w:t>导轨式液压升降平台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82" w:type="dxa"/>
            <w:vAlign w:val="top"/>
          </w:tcPr>
          <w:p>
            <w:pPr>
              <w:pStyle w:val="62"/>
              <w:spacing w:before="178" w:line="220" w:lineRule="auto"/>
              <w:ind w:left="115"/>
              <w:jc w:val="center"/>
            </w:pPr>
            <w:r>
              <w:rPr>
                <w:spacing w:val="-3"/>
              </w:rPr>
              <w:t>载重吨位</w:t>
            </w:r>
          </w:p>
        </w:tc>
        <w:tc>
          <w:tcPr>
            <w:tcW w:w="7537" w:type="dxa"/>
            <w:vAlign w:val="top"/>
          </w:tcPr>
          <w:p>
            <w:pPr>
              <w:pStyle w:val="62"/>
              <w:spacing w:before="216" w:line="183" w:lineRule="auto"/>
              <w:ind w:left="115"/>
              <w:jc w:val="center"/>
            </w:pPr>
            <w:r>
              <w:rPr>
                <w:spacing w:val="-3"/>
              </w:rPr>
              <w:t>0.3T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82" w:type="dxa"/>
            <w:vAlign w:val="top"/>
          </w:tcPr>
          <w:p>
            <w:pPr>
              <w:pStyle w:val="62"/>
              <w:spacing w:before="179" w:line="219" w:lineRule="auto"/>
              <w:ind w:left="115"/>
              <w:jc w:val="center"/>
            </w:pPr>
            <w:r>
              <w:rPr>
                <w:spacing w:val="-3"/>
              </w:rPr>
              <w:t>起升高度</w:t>
            </w:r>
          </w:p>
        </w:tc>
        <w:tc>
          <w:tcPr>
            <w:tcW w:w="7537" w:type="dxa"/>
            <w:vAlign w:val="top"/>
          </w:tcPr>
          <w:p>
            <w:pPr>
              <w:pStyle w:val="62"/>
              <w:spacing w:before="178"/>
              <w:ind w:left="116"/>
              <w:jc w:val="center"/>
            </w:pPr>
            <w:r>
              <w:rPr>
                <w:spacing w:val="-3"/>
              </w:rPr>
              <w:t>2000mm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1182" w:type="dxa"/>
            <w:vAlign w:val="top"/>
          </w:tcPr>
          <w:p>
            <w:pPr>
              <w:pStyle w:val="62"/>
              <w:spacing w:before="182" w:line="219" w:lineRule="auto"/>
              <w:ind w:left="116"/>
              <w:jc w:val="center"/>
            </w:pPr>
            <w:r>
              <w:rPr>
                <w:spacing w:val="-3"/>
              </w:rPr>
              <w:t>升降形式</w:t>
            </w:r>
          </w:p>
        </w:tc>
        <w:tc>
          <w:tcPr>
            <w:tcW w:w="7537" w:type="dxa"/>
            <w:vAlign w:val="top"/>
          </w:tcPr>
          <w:p>
            <w:pPr>
              <w:pStyle w:val="62"/>
              <w:spacing w:before="181" w:line="219" w:lineRule="auto"/>
              <w:ind w:left="115"/>
              <w:jc w:val="center"/>
            </w:pPr>
            <w:r>
              <w:rPr>
                <w:spacing w:val="-2"/>
              </w:rPr>
              <w:t>液压链条传动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82" w:type="dxa"/>
            <w:vAlign w:val="top"/>
          </w:tcPr>
          <w:p>
            <w:pPr>
              <w:pStyle w:val="62"/>
              <w:spacing w:before="194" w:line="219" w:lineRule="auto"/>
              <w:ind w:left="133"/>
              <w:jc w:val="center"/>
            </w:pPr>
            <w:r>
              <w:rPr>
                <w:spacing w:val="-8"/>
              </w:rPr>
              <w:t>台面尺寸</w:t>
            </w:r>
          </w:p>
        </w:tc>
        <w:tc>
          <w:tcPr>
            <w:tcW w:w="7537" w:type="dxa"/>
            <w:vAlign w:val="top"/>
          </w:tcPr>
          <w:p>
            <w:pPr>
              <w:pStyle w:val="62"/>
              <w:spacing w:before="194" w:line="219" w:lineRule="auto"/>
              <w:ind w:left="114"/>
              <w:jc w:val="center"/>
            </w:pPr>
            <w:r>
              <w:rPr>
                <w:spacing w:val="-2"/>
              </w:rPr>
              <w:t>长</w:t>
            </w:r>
            <w:r>
              <w:rPr>
                <w:spacing w:val="-45"/>
              </w:rPr>
              <w:t xml:space="preserve"> </w:t>
            </w:r>
            <w:r>
              <w:rPr>
                <w:spacing w:val="-2"/>
              </w:rPr>
              <w:t>700mm*宽</w:t>
            </w:r>
            <w:r>
              <w:rPr>
                <w:rFonts w:hint="eastAsia"/>
                <w:spacing w:val="-45"/>
                <w:lang w:val="en-US" w:eastAsia="zh-CN"/>
              </w:rPr>
              <w:t>9</w:t>
            </w:r>
            <w:r>
              <w:rPr>
                <w:spacing w:val="-2"/>
              </w:rPr>
              <w:t>000mm(</w:t>
            </w:r>
            <w:r>
              <w:rPr>
                <w:rFonts w:hint="eastAsia"/>
                <w:spacing w:val="-2"/>
                <w:lang w:val="en-US" w:eastAsia="zh-CN"/>
              </w:rPr>
              <w:t>9</w:t>
            </w:r>
            <w:r>
              <w:rPr>
                <w:spacing w:val="-2"/>
              </w:rPr>
              <w:t>000mm</w:t>
            </w:r>
            <w:r>
              <w:rPr>
                <w:spacing w:val="-48"/>
              </w:rPr>
              <w:t xml:space="preserve"> </w:t>
            </w:r>
            <w:r>
              <w:rPr>
                <w:spacing w:val="-2"/>
              </w:rPr>
              <w:t>为进出货口）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82" w:type="dxa"/>
            <w:vAlign w:val="top"/>
          </w:tcPr>
          <w:p>
            <w:pPr>
              <w:pStyle w:val="62"/>
              <w:spacing w:before="188" w:line="220" w:lineRule="auto"/>
              <w:ind w:left="114"/>
              <w:jc w:val="center"/>
            </w:pPr>
            <w:r>
              <w:rPr>
                <w:spacing w:val="-3"/>
              </w:rPr>
              <w:t>地基深度</w:t>
            </w:r>
          </w:p>
        </w:tc>
        <w:tc>
          <w:tcPr>
            <w:tcW w:w="7537" w:type="dxa"/>
            <w:vAlign w:val="top"/>
          </w:tcPr>
          <w:p>
            <w:pPr>
              <w:pStyle w:val="62"/>
              <w:spacing w:before="188" w:line="220" w:lineRule="auto"/>
              <w:ind w:left="115"/>
              <w:jc w:val="center"/>
            </w:pPr>
            <w:r>
              <w:rPr>
                <w:spacing w:val="-4"/>
              </w:rPr>
              <w:t>无基坑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1182" w:type="dxa"/>
            <w:vAlign w:val="top"/>
          </w:tcPr>
          <w:p>
            <w:pPr>
              <w:pStyle w:val="62"/>
              <w:spacing w:before="191" w:line="219" w:lineRule="auto"/>
              <w:ind w:left="142"/>
              <w:jc w:val="center"/>
            </w:pPr>
            <w:r>
              <w:rPr>
                <w:spacing w:val="-10"/>
              </w:rPr>
              <w:t>电源功率</w:t>
            </w:r>
          </w:p>
        </w:tc>
        <w:tc>
          <w:tcPr>
            <w:tcW w:w="7537" w:type="dxa"/>
            <w:vAlign w:val="top"/>
          </w:tcPr>
          <w:p>
            <w:pPr>
              <w:pStyle w:val="62"/>
              <w:spacing w:before="36" w:line="223" w:lineRule="auto"/>
              <w:ind w:left="142" w:right="44" w:hanging="26"/>
              <w:jc w:val="center"/>
            </w:pPr>
            <w:r>
              <w:rPr>
                <w:spacing w:val="-4"/>
              </w:rPr>
              <w:t>2.2kw380V</w:t>
            </w:r>
            <w:r>
              <w:rPr>
                <w:spacing w:val="-49"/>
              </w:rPr>
              <w:t xml:space="preserve"> </w:t>
            </w:r>
            <w:r>
              <w:rPr>
                <w:spacing w:val="-4"/>
              </w:rPr>
              <w:t>升降机专用液压泵站，配备</w:t>
            </w:r>
            <w:r>
              <w:rPr>
                <w:spacing w:val="-5"/>
              </w:rPr>
              <w:t>应急下降阀：平台断电可手动控制下降：</w:t>
            </w:r>
            <w:r>
              <w:t xml:space="preserve"> </w:t>
            </w:r>
            <w:r>
              <w:rPr>
                <w:spacing w:val="-2"/>
              </w:rPr>
              <w:t>内置溢流阀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182" w:type="dxa"/>
            <w:vAlign w:val="top"/>
          </w:tcPr>
          <w:p>
            <w:pPr>
              <w:pStyle w:val="62"/>
              <w:spacing w:before="189" w:line="219" w:lineRule="auto"/>
              <w:ind w:left="116"/>
              <w:jc w:val="center"/>
            </w:pPr>
            <w:r>
              <w:rPr>
                <w:spacing w:val="-3"/>
              </w:rPr>
              <w:t>升降速度</w:t>
            </w:r>
          </w:p>
        </w:tc>
        <w:tc>
          <w:tcPr>
            <w:tcW w:w="7537" w:type="dxa"/>
            <w:vAlign w:val="top"/>
          </w:tcPr>
          <w:p>
            <w:pPr>
              <w:pStyle w:val="62"/>
              <w:spacing w:before="189" w:line="224" w:lineRule="auto"/>
              <w:ind w:left="112"/>
              <w:jc w:val="center"/>
            </w:pPr>
            <w:r>
              <w:rPr>
                <w:spacing w:val="-1"/>
              </w:rPr>
              <w:t>4-5M/*min</w:t>
            </w:r>
          </w:p>
        </w:tc>
      </w:tr>
    </w:tbl>
    <w:p>
      <w:pPr>
        <w:pStyle w:val="10"/>
        <w:numPr>
          <w:ilvl w:val="0"/>
          <w:numId w:val="6"/>
        </w:numPr>
        <w:spacing w:line="360" w:lineRule="auto"/>
        <w:ind w:left="0" w:leftChars="0" w:firstLine="418" w:firstLineChars="200"/>
        <w:rPr>
          <w:rFonts w:hint="eastAsia"/>
          <w:b/>
          <w:bCs/>
          <w:spacing w:val="-1"/>
          <w:lang w:val="en-US" w:eastAsia="zh-CN"/>
        </w:rPr>
      </w:pPr>
      <w:r>
        <w:rPr>
          <w:rFonts w:hint="eastAsia"/>
          <w:b/>
          <w:bCs/>
          <w:spacing w:val="-1"/>
          <w:lang w:val="en-US" w:eastAsia="zh-CN"/>
        </w:rPr>
        <w:t>产品主要材质参数及配置</w:t>
      </w:r>
    </w:p>
    <w:tbl>
      <w:tblPr>
        <w:tblStyle w:val="63"/>
        <w:tblW w:w="8694" w:type="dxa"/>
        <w:tblInd w:w="3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7"/>
        <w:gridCol w:w="10"/>
        <w:gridCol w:w="7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1177" w:type="dxa"/>
            <w:vAlign w:val="top"/>
          </w:tcPr>
          <w:p>
            <w:pPr>
              <w:pStyle w:val="62"/>
              <w:spacing w:before="191" w:line="221" w:lineRule="auto"/>
              <w:ind w:left="118"/>
              <w:jc w:val="center"/>
            </w:pPr>
            <w:r>
              <w:rPr>
                <w:spacing w:val="-4"/>
              </w:rPr>
              <w:t>设备台面</w:t>
            </w:r>
          </w:p>
        </w:tc>
        <w:tc>
          <w:tcPr>
            <w:tcW w:w="7517" w:type="dxa"/>
            <w:gridSpan w:val="2"/>
            <w:vAlign w:val="top"/>
          </w:tcPr>
          <w:p>
            <w:pPr>
              <w:pStyle w:val="62"/>
              <w:spacing w:before="37" w:line="224" w:lineRule="auto"/>
              <w:ind w:left="115" w:right="110" w:firstLine="13"/>
              <w:jc w:val="center"/>
            </w:pPr>
            <w:r>
              <w:t>台面框架用</w:t>
            </w:r>
            <w:r>
              <w:rPr>
                <w:spacing w:val="-30"/>
              </w:rPr>
              <w:t xml:space="preserve"> </w:t>
            </w:r>
            <w:r>
              <w:t>100*50+70*50+40*60</w:t>
            </w:r>
            <w:r>
              <w:rPr>
                <w:spacing w:val="-42"/>
              </w:rPr>
              <w:t xml:space="preserve"> </w:t>
            </w:r>
            <w:r>
              <w:t>方管焊制</w:t>
            </w:r>
            <w:r>
              <w:rPr>
                <w:spacing w:val="-34"/>
              </w:rPr>
              <w:t>，</w:t>
            </w:r>
            <w:r>
              <w:t xml:space="preserve">台面铺设 </w:t>
            </w:r>
            <w:r>
              <w:rPr>
                <w:spacing w:val="-1"/>
              </w:rPr>
              <w:t>3mm</w:t>
            </w:r>
            <w:r>
              <w:rPr>
                <w:spacing w:val="-49"/>
              </w:rPr>
              <w:t xml:space="preserve"> </w:t>
            </w:r>
            <w:r>
              <w:rPr>
                <w:spacing w:val="-1"/>
              </w:rPr>
              <w:t>花纹板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77" w:type="dxa"/>
            <w:vAlign w:val="top"/>
          </w:tcPr>
          <w:p>
            <w:pPr>
              <w:pStyle w:val="62"/>
              <w:spacing w:before="185" w:line="221" w:lineRule="auto"/>
              <w:ind w:left="121"/>
              <w:jc w:val="center"/>
            </w:pPr>
            <w:r>
              <w:rPr>
                <w:spacing w:val="-8"/>
              </w:rPr>
              <w:t>导</w:t>
            </w:r>
            <w:r>
              <w:rPr>
                <w:spacing w:val="2"/>
              </w:rPr>
              <w:t xml:space="preserve">    </w:t>
            </w:r>
            <w:r>
              <w:rPr>
                <w:spacing w:val="-8"/>
              </w:rPr>
              <w:t>轨</w:t>
            </w:r>
          </w:p>
        </w:tc>
        <w:tc>
          <w:tcPr>
            <w:tcW w:w="7517" w:type="dxa"/>
            <w:gridSpan w:val="2"/>
            <w:vAlign w:val="top"/>
          </w:tcPr>
          <w:p>
            <w:pPr>
              <w:pStyle w:val="62"/>
              <w:spacing w:before="186" w:line="219" w:lineRule="auto"/>
              <w:ind w:left="112"/>
              <w:jc w:val="center"/>
            </w:pPr>
            <w:r>
              <w:t>60*60</w:t>
            </w:r>
            <w:r>
              <w:rPr>
                <w:spacing w:val="-40"/>
              </w:rPr>
              <w:t xml:space="preserve"> </w:t>
            </w:r>
            <w:r>
              <w:t>方管焊制4</w:t>
            </w:r>
            <w:r>
              <w:rPr>
                <w:spacing w:val="-52"/>
              </w:rPr>
              <w:t xml:space="preserve"> </w:t>
            </w:r>
            <w:r>
              <w:t>件高</w:t>
            </w:r>
            <w:r>
              <w:rPr>
                <w:spacing w:val="-51"/>
              </w:rPr>
              <w:t xml:space="preserve"> </w:t>
            </w:r>
            <w:r>
              <w:t>4.5m</w:t>
            </w:r>
            <w:r>
              <w:rPr>
                <w:spacing w:val="-50"/>
              </w:rPr>
              <w:t xml:space="preserve"> </w:t>
            </w:r>
            <w:r>
              <w:t>长轨道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77" w:type="dxa"/>
            <w:vAlign w:val="top"/>
          </w:tcPr>
          <w:p>
            <w:pPr>
              <w:pStyle w:val="62"/>
              <w:spacing w:before="176" w:line="219" w:lineRule="auto"/>
              <w:ind w:left="114"/>
              <w:jc w:val="center"/>
            </w:pPr>
            <w:r>
              <w:rPr>
                <w:spacing w:val="-7"/>
              </w:rPr>
              <w:t>举</w:t>
            </w:r>
            <w:r>
              <w:rPr>
                <w:spacing w:val="11"/>
              </w:rPr>
              <w:t xml:space="preserve"> </w:t>
            </w:r>
            <w:r>
              <w:rPr>
                <w:spacing w:val="-7"/>
              </w:rPr>
              <w:t>升</w:t>
            </w:r>
            <w:r>
              <w:rPr>
                <w:spacing w:val="10"/>
              </w:rPr>
              <w:t xml:space="preserve"> </w:t>
            </w:r>
            <w:r>
              <w:rPr>
                <w:spacing w:val="-7"/>
              </w:rPr>
              <w:t>架</w:t>
            </w:r>
          </w:p>
        </w:tc>
        <w:tc>
          <w:tcPr>
            <w:tcW w:w="7517" w:type="dxa"/>
            <w:gridSpan w:val="2"/>
            <w:vAlign w:val="top"/>
          </w:tcPr>
          <w:p>
            <w:pPr>
              <w:pStyle w:val="62"/>
              <w:spacing w:before="177" w:line="219" w:lineRule="auto"/>
              <w:ind w:left="128"/>
              <w:jc w:val="center"/>
            </w:pPr>
            <w:r>
              <w:rPr>
                <w:spacing w:val="-2"/>
              </w:rPr>
              <w:t>150x70</w:t>
            </w:r>
            <w:r>
              <w:rPr>
                <w:spacing w:val="-41"/>
              </w:rPr>
              <w:t xml:space="preserve"> </w:t>
            </w:r>
            <w:r>
              <w:rPr>
                <w:spacing w:val="-2"/>
              </w:rPr>
              <w:t>方管焊制为起升梁架*2</w:t>
            </w:r>
            <w:r>
              <w:rPr>
                <w:spacing w:val="-52"/>
              </w:rPr>
              <w:t xml:space="preserve"> </w:t>
            </w:r>
            <w:r>
              <w:rPr>
                <w:spacing w:val="-2"/>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1177" w:type="dxa"/>
            <w:vAlign w:val="top"/>
          </w:tcPr>
          <w:p>
            <w:pPr>
              <w:pStyle w:val="62"/>
              <w:spacing w:before="194" w:line="220" w:lineRule="auto"/>
              <w:ind w:left="116"/>
              <w:jc w:val="center"/>
            </w:pPr>
            <w:r>
              <w:rPr>
                <w:spacing w:val="-3"/>
              </w:rPr>
              <w:t>上下滚轮</w:t>
            </w:r>
          </w:p>
        </w:tc>
        <w:tc>
          <w:tcPr>
            <w:tcW w:w="7517" w:type="dxa"/>
            <w:gridSpan w:val="2"/>
            <w:vAlign w:val="top"/>
          </w:tcPr>
          <w:p>
            <w:pPr>
              <w:pStyle w:val="62"/>
              <w:spacing w:before="37" w:line="226" w:lineRule="auto"/>
              <w:ind w:left="2151" w:right="110" w:hanging="2035"/>
              <w:jc w:val="center"/>
            </w:pPr>
            <w:r>
              <w:rPr>
                <w:spacing w:val="-1"/>
              </w:rPr>
              <w:t>72*55</w:t>
            </w:r>
            <w:r>
              <w:rPr>
                <w:spacing w:val="-40"/>
              </w:rPr>
              <w:t xml:space="preserve"> </w:t>
            </w:r>
            <w:r>
              <w:rPr>
                <w:spacing w:val="-1"/>
              </w:rPr>
              <w:t>滑轮聚氨酯尼龙轮+106*30</w:t>
            </w:r>
            <w:r>
              <w:rPr>
                <w:spacing w:val="-48"/>
              </w:rPr>
              <w:t xml:space="preserve"> </w:t>
            </w:r>
            <w:r>
              <w:rPr>
                <w:spacing w:val="-1"/>
              </w:rPr>
              <w:t>侧轮聚氨酯尼龙轮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77" w:type="dxa"/>
            <w:vAlign w:val="top"/>
          </w:tcPr>
          <w:p>
            <w:pPr>
              <w:pStyle w:val="62"/>
              <w:spacing w:before="38" w:line="225" w:lineRule="auto"/>
              <w:ind w:left="114" w:right="109" w:firstLine="15"/>
              <w:jc w:val="center"/>
            </w:pPr>
            <w:r>
              <w:rPr>
                <w:spacing w:val="2"/>
              </w:rPr>
              <w:t>防</w:t>
            </w:r>
            <w:r>
              <w:rPr>
                <w:spacing w:val="-53"/>
              </w:rPr>
              <w:t xml:space="preserve"> </w:t>
            </w:r>
            <w:r>
              <w:rPr>
                <w:spacing w:val="2"/>
              </w:rPr>
              <w:t>坠</w:t>
            </w:r>
            <w:r>
              <w:rPr>
                <w:spacing w:val="-65"/>
              </w:rPr>
              <w:t xml:space="preserve"> </w:t>
            </w:r>
            <w:r>
              <w:rPr>
                <w:spacing w:val="2"/>
              </w:rPr>
              <w:t>钢丝</w:t>
            </w:r>
            <w:r>
              <w:t xml:space="preserve"> 绳</w:t>
            </w:r>
          </w:p>
        </w:tc>
        <w:tc>
          <w:tcPr>
            <w:tcW w:w="7517" w:type="dxa"/>
            <w:gridSpan w:val="2"/>
            <w:vAlign w:val="top"/>
          </w:tcPr>
          <w:p>
            <w:pPr>
              <w:pStyle w:val="62"/>
              <w:spacing w:before="195" w:line="219" w:lineRule="auto"/>
              <w:ind w:left="139"/>
              <w:jc w:val="center"/>
            </w:pPr>
            <w:r>
              <w:rPr>
                <w:spacing w:val="-5"/>
              </w:rPr>
              <w:t>Φ8</w:t>
            </w:r>
            <w:r>
              <w:rPr>
                <w:spacing w:val="-41"/>
              </w:rPr>
              <w:t xml:space="preserve"> </w:t>
            </w:r>
            <w:r>
              <w:rPr>
                <w:spacing w:val="-5"/>
              </w:rPr>
              <w:t>左右平衡绳*2</w:t>
            </w:r>
            <w:r>
              <w:rPr>
                <w:spacing w:val="-49"/>
              </w:rPr>
              <w:t xml:space="preserve"> </w:t>
            </w:r>
            <w:r>
              <w:rPr>
                <w:spacing w:val="-5"/>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77" w:type="dxa"/>
            <w:vAlign w:val="top"/>
          </w:tcPr>
          <w:p>
            <w:pPr>
              <w:pStyle w:val="62"/>
              <w:spacing w:before="195" w:line="219" w:lineRule="auto"/>
              <w:ind w:left="113"/>
              <w:jc w:val="center"/>
            </w:pPr>
            <w:r>
              <w:rPr>
                <w:spacing w:val="-5"/>
              </w:rPr>
              <w:t>链</w:t>
            </w:r>
            <w:r>
              <w:rPr>
                <w:spacing w:val="2"/>
              </w:rPr>
              <w:t xml:space="preserve">    </w:t>
            </w:r>
            <w:r>
              <w:rPr>
                <w:spacing w:val="-5"/>
              </w:rPr>
              <w:t>条</w:t>
            </w:r>
          </w:p>
        </w:tc>
        <w:tc>
          <w:tcPr>
            <w:tcW w:w="7517" w:type="dxa"/>
            <w:gridSpan w:val="2"/>
            <w:vAlign w:val="top"/>
          </w:tcPr>
          <w:p>
            <w:pPr>
              <w:pStyle w:val="62"/>
              <w:spacing w:before="194" w:line="219" w:lineRule="auto"/>
              <w:ind w:left="108"/>
              <w:jc w:val="center"/>
            </w:pPr>
            <w:r>
              <w:rPr>
                <w:spacing w:val="-1"/>
              </w:rPr>
              <w:t>LH1044</w:t>
            </w:r>
            <w:r>
              <w:rPr>
                <w:spacing w:val="-49"/>
              </w:rPr>
              <w:t xml:space="preserve"> </w:t>
            </w:r>
            <w:r>
              <w:rPr>
                <w:spacing w:val="-1"/>
              </w:rPr>
              <w:t>板式链条*4</w:t>
            </w:r>
            <w:r>
              <w:rPr>
                <w:spacing w:val="-49"/>
              </w:rPr>
              <w:t xml:space="preserve"> </w:t>
            </w:r>
            <w:r>
              <w:rPr>
                <w:spacing w:val="-1"/>
              </w:rPr>
              <w:t>条 高强度板式拉力链条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77" w:type="dxa"/>
            <w:vAlign w:val="top"/>
          </w:tcPr>
          <w:p>
            <w:pPr>
              <w:pStyle w:val="62"/>
              <w:spacing w:before="195" w:line="219" w:lineRule="auto"/>
              <w:ind w:left="121"/>
              <w:jc w:val="center"/>
            </w:pPr>
            <w:r>
              <w:rPr>
                <w:spacing w:val="-4"/>
              </w:rPr>
              <w:t>导轨挂板</w:t>
            </w:r>
          </w:p>
        </w:tc>
        <w:tc>
          <w:tcPr>
            <w:tcW w:w="7517" w:type="dxa"/>
            <w:gridSpan w:val="2"/>
            <w:vAlign w:val="top"/>
          </w:tcPr>
          <w:p>
            <w:pPr>
              <w:pStyle w:val="62"/>
              <w:spacing w:before="195" w:line="219" w:lineRule="auto"/>
              <w:ind w:left="129"/>
              <w:jc w:val="center"/>
            </w:pPr>
            <w:r>
              <w:rPr>
                <w:spacing w:val="-2"/>
              </w:rPr>
              <w:t>台面挂板</w:t>
            </w:r>
            <w:r>
              <w:rPr>
                <w:spacing w:val="-32"/>
              </w:rPr>
              <w:t xml:space="preserve"> </w:t>
            </w:r>
            <w:r>
              <w:rPr>
                <w:spacing w:val="-2"/>
              </w:rPr>
              <w:t>1000*180*14mm*4</w:t>
            </w:r>
            <w:r>
              <w:rPr>
                <w:spacing w:val="-50"/>
              </w:rPr>
              <w:t xml:space="preserve"> </w:t>
            </w:r>
            <w:r>
              <w:rPr>
                <w:spacing w:val="-2"/>
              </w:rPr>
              <w:t>块、横梁挂板</w:t>
            </w:r>
            <w:r>
              <w:rPr>
                <w:spacing w:val="-49"/>
              </w:rPr>
              <w:t xml:space="preserve"> </w:t>
            </w:r>
            <w:r>
              <w:rPr>
                <w:spacing w:val="-2"/>
              </w:rPr>
              <w:t>600*160*14mm*4</w:t>
            </w:r>
            <w:r>
              <w:rPr>
                <w:spacing w:val="-51"/>
              </w:rPr>
              <w:t xml:space="preserve"> </w:t>
            </w:r>
            <w:r>
              <w:rPr>
                <w:spacing w:val="-2"/>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77" w:type="dxa"/>
            <w:vAlign w:val="top"/>
          </w:tcPr>
          <w:p>
            <w:pPr>
              <w:pStyle w:val="62"/>
              <w:spacing w:before="201" w:line="224" w:lineRule="auto"/>
              <w:ind w:left="118"/>
              <w:jc w:val="center"/>
            </w:pPr>
            <w:r>
              <w:rPr>
                <w:spacing w:val="-7"/>
              </w:rPr>
              <w:t>油</w:t>
            </w:r>
            <w:r>
              <w:rPr>
                <w:spacing w:val="2"/>
              </w:rPr>
              <w:t xml:space="preserve">    </w:t>
            </w:r>
            <w:r>
              <w:rPr>
                <w:spacing w:val="-7"/>
              </w:rPr>
              <w:t>缸</w:t>
            </w:r>
          </w:p>
        </w:tc>
        <w:tc>
          <w:tcPr>
            <w:tcW w:w="7517" w:type="dxa"/>
            <w:gridSpan w:val="2"/>
            <w:vAlign w:val="top"/>
          </w:tcPr>
          <w:p>
            <w:pPr>
              <w:pStyle w:val="62"/>
              <w:spacing w:before="201" w:line="219" w:lineRule="auto"/>
              <w:ind w:left="115"/>
              <w:jc w:val="center"/>
            </w:pPr>
            <w:r>
              <w:rPr>
                <w:spacing w:val="-5"/>
              </w:rPr>
              <w:t>外Φ73 内</w:t>
            </w:r>
            <w:r>
              <w:rPr>
                <w:spacing w:val="-44"/>
              </w:rPr>
              <w:t xml:space="preserve"> </w:t>
            </w:r>
            <w:r>
              <w:rPr>
                <w:spacing w:val="-5"/>
              </w:rPr>
              <w:t>63mm*2</w:t>
            </w:r>
            <w:r>
              <w:rPr>
                <w:spacing w:val="-37"/>
              </w:rPr>
              <w:t xml:space="preserve"> </w:t>
            </w:r>
            <w:r>
              <w:rPr>
                <w:spacing w:val="-5"/>
              </w:rPr>
              <w:t>只精磨液压油缸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87" w:type="dxa"/>
            <w:gridSpan w:val="2"/>
            <w:vAlign w:val="top"/>
          </w:tcPr>
          <w:p>
            <w:pPr>
              <w:pStyle w:val="62"/>
              <w:spacing w:before="208" w:line="219" w:lineRule="auto"/>
              <w:jc w:val="center"/>
            </w:pPr>
            <w:r>
              <w:rPr>
                <w:spacing w:val="-10"/>
              </w:rPr>
              <w:t>电机泵站</w:t>
            </w:r>
          </w:p>
        </w:tc>
        <w:tc>
          <w:tcPr>
            <w:tcW w:w="7507" w:type="dxa"/>
            <w:vAlign w:val="top"/>
          </w:tcPr>
          <w:p>
            <w:pPr>
              <w:pStyle w:val="62"/>
              <w:spacing w:before="208" w:line="219" w:lineRule="auto"/>
              <w:ind w:left="114"/>
              <w:jc w:val="center"/>
            </w:pPr>
            <w:r>
              <w:rPr>
                <w:spacing w:val="-2"/>
              </w:rPr>
              <w:t>2.2kw40L</w:t>
            </w:r>
            <w:r>
              <w:rPr>
                <w:spacing w:val="-32"/>
              </w:rPr>
              <w:t xml:space="preserve"> </w:t>
            </w:r>
            <w:r>
              <w:rPr>
                <w:spacing w:val="-2"/>
              </w:rPr>
              <w:t>升降机专用液压泵站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87" w:type="dxa"/>
            <w:gridSpan w:val="2"/>
            <w:vAlign w:val="top"/>
          </w:tcPr>
          <w:p>
            <w:pPr>
              <w:pStyle w:val="62"/>
              <w:spacing w:before="178" w:line="220" w:lineRule="auto"/>
              <w:jc w:val="center"/>
            </w:pPr>
            <w:r>
              <w:rPr>
                <w:spacing w:val="-16"/>
              </w:rPr>
              <w:t>配</w:t>
            </w:r>
            <w:r>
              <w:rPr>
                <w:spacing w:val="37"/>
              </w:rPr>
              <w:t xml:space="preserve"> </w:t>
            </w:r>
            <w:r>
              <w:rPr>
                <w:spacing w:val="-16"/>
              </w:rPr>
              <w:t>电</w:t>
            </w:r>
            <w:r>
              <w:rPr>
                <w:spacing w:val="11"/>
              </w:rPr>
              <w:t xml:space="preserve"> </w:t>
            </w:r>
            <w:r>
              <w:rPr>
                <w:spacing w:val="-16"/>
              </w:rPr>
              <w:t>箱</w:t>
            </w:r>
          </w:p>
        </w:tc>
        <w:tc>
          <w:tcPr>
            <w:tcW w:w="7507" w:type="dxa"/>
            <w:vAlign w:val="top"/>
          </w:tcPr>
          <w:p>
            <w:pPr>
              <w:pStyle w:val="62"/>
              <w:spacing w:before="178" w:line="218" w:lineRule="auto"/>
              <w:ind w:left="126"/>
              <w:jc w:val="center"/>
            </w:pPr>
            <w:r>
              <w:rPr>
                <w:spacing w:val="-2"/>
              </w:rPr>
              <w:t>防爆手柄，防爆按钮，防爆行程开关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87" w:type="dxa"/>
            <w:gridSpan w:val="2"/>
            <w:vAlign w:val="top"/>
          </w:tcPr>
          <w:p>
            <w:pPr>
              <w:pStyle w:val="62"/>
              <w:spacing w:before="178" w:line="221" w:lineRule="auto"/>
              <w:jc w:val="center"/>
            </w:pPr>
            <w:r>
              <w:rPr>
                <w:spacing w:val="-7"/>
              </w:rPr>
              <w:t>密</w:t>
            </w:r>
            <w:r>
              <w:rPr>
                <w:spacing w:val="9"/>
              </w:rPr>
              <w:t xml:space="preserve"> </w:t>
            </w:r>
            <w:r>
              <w:rPr>
                <w:spacing w:val="-7"/>
              </w:rPr>
              <w:t>封</w:t>
            </w:r>
            <w:r>
              <w:rPr>
                <w:spacing w:val="28"/>
              </w:rPr>
              <w:t xml:space="preserve"> </w:t>
            </w:r>
            <w:r>
              <w:rPr>
                <w:spacing w:val="-7"/>
              </w:rPr>
              <w:t>圈</w:t>
            </w:r>
          </w:p>
        </w:tc>
        <w:tc>
          <w:tcPr>
            <w:tcW w:w="7507" w:type="dxa"/>
            <w:vAlign w:val="top"/>
          </w:tcPr>
          <w:p>
            <w:pPr>
              <w:pStyle w:val="62"/>
              <w:spacing w:before="178" w:line="219" w:lineRule="auto"/>
              <w:ind w:left="140"/>
              <w:jc w:val="center"/>
            </w:pPr>
            <w:r>
              <w:rPr>
                <w:spacing w:val="-4"/>
              </w:rPr>
              <w:t>Φ16</w:t>
            </w:r>
            <w:r>
              <w:rPr>
                <w:spacing w:val="-44"/>
              </w:rPr>
              <w:t xml:space="preserve"> </w:t>
            </w:r>
            <w:r>
              <w:rPr>
                <w:spacing w:val="-4"/>
              </w:rPr>
              <w:t>密封圈 （进口材料）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87" w:type="dxa"/>
            <w:gridSpan w:val="2"/>
            <w:vAlign w:val="top"/>
          </w:tcPr>
          <w:p>
            <w:pPr>
              <w:pStyle w:val="62"/>
              <w:spacing w:before="197" w:line="219" w:lineRule="auto"/>
              <w:jc w:val="center"/>
            </w:pPr>
            <w:r>
              <w:rPr>
                <w:spacing w:val="-7"/>
              </w:rPr>
              <w:t>油</w:t>
            </w:r>
            <w:r>
              <w:rPr>
                <w:spacing w:val="3"/>
              </w:rPr>
              <w:t xml:space="preserve">    </w:t>
            </w:r>
            <w:r>
              <w:rPr>
                <w:spacing w:val="-7"/>
              </w:rPr>
              <w:t>管</w:t>
            </w:r>
          </w:p>
        </w:tc>
        <w:tc>
          <w:tcPr>
            <w:tcW w:w="7507" w:type="dxa"/>
            <w:vAlign w:val="top"/>
          </w:tcPr>
          <w:p>
            <w:pPr>
              <w:pStyle w:val="62"/>
              <w:spacing w:before="40" w:line="225" w:lineRule="auto"/>
              <w:ind w:left="110" w:right="109"/>
              <w:jc w:val="center"/>
            </w:pPr>
            <w:r>
              <w:rPr>
                <w:spacing w:val="3"/>
              </w:rPr>
              <w:t>三层钢网橡胶管最大承受压力Φ</w:t>
            </w:r>
            <w:r>
              <w:rPr>
                <w:rFonts w:ascii="Times New Roman" w:hAnsi="Times New Roman" w:eastAsia="Times New Roman" w:cs="Times New Roman"/>
                <w:spacing w:val="3"/>
              </w:rPr>
              <w:t>13</w:t>
            </w:r>
            <w:r>
              <w:rPr>
                <w:rFonts w:ascii="Times New Roman" w:hAnsi="Times New Roman" w:eastAsia="Times New Roman" w:cs="Times New Roman"/>
              </w:rPr>
              <w:t>mm</w:t>
            </w:r>
            <w:r>
              <w:rPr>
                <w:rFonts w:ascii="Times New Roman" w:hAnsi="Times New Roman" w:eastAsia="Times New Roman" w:cs="Times New Roman"/>
                <w:spacing w:val="3"/>
              </w:rPr>
              <w:t>*4.5/2.5-28</w:t>
            </w:r>
            <w:r>
              <w:rPr>
                <w:rFonts w:ascii="Times New Roman" w:hAnsi="Times New Roman" w:eastAsia="Times New Roman" w:cs="Times New Roman"/>
              </w:rPr>
              <w:t>Mpa</w:t>
            </w:r>
            <w:r>
              <w:rPr>
                <w:rFonts w:ascii="Times New Roman" w:hAnsi="Times New Roman" w:eastAsia="Times New Roman" w:cs="Times New Roman"/>
                <w:spacing w:val="3"/>
              </w:rPr>
              <w:t>*3</w:t>
            </w:r>
            <w:r>
              <w:rPr>
                <w:rFonts w:ascii="Times New Roman" w:hAnsi="Times New Roman" w:eastAsia="Times New Roman" w:cs="Times New Roman"/>
                <w:spacing w:val="6"/>
              </w:rPr>
              <w:t xml:space="preserve"> </w:t>
            </w:r>
            <w:r>
              <w:rPr>
                <w:spacing w:val="-2"/>
              </w:rPr>
              <w:t>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187" w:type="dxa"/>
            <w:gridSpan w:val="2"/>
            <w:vAlign w:val="top"/>
          </w:tcPr>
          <w:p>
            <w:pPr>
              <w:pStyle w:val="62"/>
              <w:spacing w:before="187" w:line="220" w:lineRule="auto"/>
              <w:jc w:val="center"/>
            </w:pPr>
            <w:r>
              <w:rPr>
                <w:spacing w:val="-8"/>
              </w:rPr>
              <w:t>液</w:t>
            </w:r>
            <w:r>
              <w:rPr>
                <w:spacing w:val="11"/>
              </w:rPr>
              <w:t xml:space="preserve"> </w:t>
            </w:r>
            <w:r>
              <w:rPr>
                <w:spacing w:val="-8"/>
              </w:rPr>
              <w:t>压</w:t>
            </w:r>
            <w:r>
              <w:rPr>
                <w:spacing w:val="13"/>
              </w:rPr>
              <w:t xml:space="preserve"> </w:t>
            </w:r>
            <w:r>
              <w:rPr>
                <w:spacing w:val="-8"/>
              </w:rPr>
              <w:t>油</w:t>
            </w:r>
          </w:p>
        </w:tc>
        <w:tc>
          <w:tcPr>
            <w:tcW w:w="7507" w:type="dxa"/>
            <w:vAlign w:val="top"/>
          </w:tcPr>
          <w:p>
            <w:pPr>
              <w:pStyle w:val="62"/>
              <w:spacing w:before="187" w:line="212" w:lineRule="auto"/>
              <w:ind w:left="111"/>
              <w:jc w:val="center"/>
            </w:pPr>
            <w:r>
              <w:rPr>
                <w:spacing w:val="3"/>
              </w:rPr>
              <w:t>夏季采用</w:t>
            </w:r>
            <w:r>
              <w:rPr>
                <w:rFonts w:ascii="Times New Roman" w:hAnsi="Times New Roman" w:eastAsia="Times New Roman" w:cs="Times New Roman"/>
                <w:spacing w:val="3"/>
              </w:rPr>
              <w:t>46#</w:t>
            </w:r>
            <w:r>
              <w:rPr>
                <w:spacing w:val="3"/>
              </w:rPr>
              <w:t>抗磨液压油，冬季采用</w:t>
            </w:r>
            <w:r>
              <w:rPr>
                <w:rFonts w:ascii="Times New Roman" w:hAnsi="Times New Roman" w:eastAsia="Times New Roman" w:cs="Times New Roman"/>
                <w:spacing w:val="3"/>
              </w:rPr>
              <w:t>32#</w:t>
            </w:r>
            <w:r>
              <w:rPr>
                <w:spacing w:val="3"/>
              </w:rPr>
              <w:t>抗磨液压液压油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87" w:type="dxa"/>
            <w:gridSpan w:val="2"/>
            <w:vAlign w:val="top"/>
          </w:tcPr>
          <w:p>
            <w:pPr>
              <w:pStyle w:val="62"/>
              <w:spacing w:before="188" w:line="221" w:lineRule="auto"/>
              <w:jc w:val="center"/>
            </w:pPr>
            <w:r>
              <w:rPr>
                <w:spacing w:val="-5"/>
              </w:rPr>
              <w:t>颜</w:t>
            </w:r>
            <w:r>
              <w:rPr>
                <w:spacing w:val="3"/>
              </w:rPr>
              <w:t xml:space="preserve">    </w:t>
            </w:r>
            <w:r>
              <w:rPr>
                <w:spacing w:val="-5"/>
              </w:rPr>
              <w:t>色</w:t>
            </w:r>
          </w:p>
        </w:tc>
        <w:tc>
          <w:tcPr>
            <w:tcW w:w="7507" w:type="dxa"/>
            <w:vAlign w:val="top"/>
          </w:tcPr>
          <w:p>
            <w:pPr>
              <w:pStyle w:val="62"/>
              <w:spacing w:before="191" w:line="222" w:lineRule="auto"/>
              <w:ind w:left="114"/>
              <w:jc w:val="center"/>
              <w:rPr>
                <w:rFonts w:hint="default" w:eastAsia="宋体"/>
                <w:lang w:val="en-US" w:eastAsia="zh-CN"/>
              </w:rPr>
            </w:pPr>
            <w:r>
              <w:rPr>
                <w:spacing w:val="-4"/>
              </w:rPr>
              <w:t>宝石蓝色</w:t>
            </w:r>
            <w:r>
              <w:rPr>
                <w:rFonts w:hint="eastAsia"/>
                <w:spacing w:val="-4"/>
                <w:lang w:eastAsia="zh-CN"/>
              </w:rPr>
              <w:t>，</w:t>
            </w:r>
            <w:r>
              <w:rPr>
                <w:rFonts w:hint="eastAsia"/>
                <w:spacing w:val="-4"/>
                <w:lang w:val="en-US" w:eastAsia="zh-CN"/>
              </w:rPr>
              <w:t>护栏采用黄黑相间颜色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87" w:type="dxa"/>
            <w:gridSpan w:val="2"/>
            <w:vAlign w:val="center"/>
          </w:tcPr>
          <w:p>
            <w:pPr>
              <w:pStyle w:val="62"/>
              <w:spacing w:before="188" w:line="221" w:lineRule="auto"/>
              <w:jc w:val="center"/>
              <w:rPr>
                <w:rFonts w:hint="eastAsia" w:eastAsia="宋体"/>
                <w:spacing w:val="-5"/>
                <w:lang w:val="en-US" w:eastAsia="zh-CN"/>
              </w:rPr>
            </w:pPr>
            <w:r>
              <w:rPr>
                <w:rFonts w:hint="eastAsia"/>
                <w:spacing w:val="-5"/>
                <w:lang w:val="en-US" w:eastAsia="zh-CN"/>
              </w:rPr>
              <w:t>其他</w:t>
            </w:r>
          </w:p>
        </w:tc>
        <w:tc>
          <w:tcPr>
            <w:tcW w:w="7507" w:type="dxa"/>
            <w:vAlign w:val="center"/>
          </w:tcPr>
          <w:p>
            <w:pPr>
              <w:pStyle w:val="62"/>
              <w:spacing w:before="191" w:line="222" w:lineRule="auto"/>
              <w:ind w:left="114"/>
              <w:jc w:val="center"/>
              <w:rPr>
                <w:spacing w:val="-4"/>
              </w:rPr>
            </w:pPr>
            <w:r>
              <w:rPr>
                <w:rFonts w:hint="eastAsia"/>
                <w:spacing w:val="-4"/>
                <w:lang w:val="en-US" w:eastAsia="zh-CN"/>
              </w:rPr>
              <w:t>自保式控制升降，上下楼层均有控制盒。工作平台系统上下方均安装应急停止按钮，以保证操作、使用货物安全。系统设有应急下降阀。当 工作台工作时突然断电，可以采用此装置使升降台安全下降。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87" w:type="dxa"/>
            <w:gridSpan w:val="2"/>
            <w:vAlign w:val="center"/>
          </w:tcPr>
          <w:p>
            <w:pPr>
              <w:pStyle w:val="62"/>
              <w:spacing w:before="188" w:line="221" w:lineRule="auto"/>
              <w:jc w:val="center"/>
              <w:rPr>
                <w:rFonts w:hint="default"/>
                <w:spacing w:val="-5"/>
                <w:lang w:val="en-US" w:eastAsia="zh-CN"/>
              </w:rPr>
            </w:pPr>
            <w:r>
              <w:rPr>
                <w:rFonts w:hint="eastAsia"/>
                <w:spacing w:val="-5"/>
                <w:lang w:val="en-US" w:eastAsia="zh-CN"/>
              </w:rPr>
              <w:t>安全防护</w:t>
            </w:r>
          </w:p>
        </w:tc>
        <w:tc>
          <w:tcPr>
            <w:tcW w:w="7507" w:type="dxa"/>
            <w:vAlign w:val="center"/>
          </w:tcPr>
          <w:p>
            <w:pPr>
              <w:pStyle w:val="62"/>
              <w:spacing w:before="191" w:line="222" w:lineRule="auto"/>
              <w:ind w:left="114"/>
              <w:jc w:val="center"/>
              <w:rPr>
                <w:rFonts w:hint="default"/>
                <w:spacing w:val="-4"/>
                <w:lang w:val="en-US" w:eastAsia="zh-CN"/>
              </w:rPr>
            </w:pPr>
            <w:r>
              <w:rPr>
                <w:rFonts w:hint="eastAsia"/>
                <w:spacing w:val="-4"/>
                <w:lang w:val="en-US" w:eastAsia="zh-CN"/>
              </w:rPr>
              <w:t>周圈需安装踢脚板，高度约10cm</w:t>
            </w:r>
          </w:p>
        </w:tc>
      </w:tr>
    </w:tbl>
    <w:p>
      <w:pPr>
        <w:pStyle w:val="10"/>
        <w:numPr>
          <w:ilvl w:val="0"/>
          <w:numId w:val="6"/>
        </w:numPr>
        <w:spacing w:line="360" w:lineRule="auto"/>
        <w:ind w:left="0" w:leftChars="0" w:firstLine="418" w:firstLineChars="200"/>
        <w:rPr>
          <w:rFonts w:hint="eastAsia"/>
          <w:b/>
          <w:bCs/>
          <w:spacing w:val="-1"/>
          <w:lang w:val="en-US" w:eastAsia="zh-CN"/>
        </w:rPr>
      </w:pPr>
      <w:r>
        <w:rPr>
          <w:rFonts w:hint="eastAsia"/>
          <w:b/>
          <w:bCs/>
          <w:spacing w:val="-1"/>
          <w:lang w:val="en-US" w:eastAsia="zh-CN"/>
        </w:rPr>
        <w:t>基本图样</w:t>
      </w:r>
    </w:p>
    <w:p>
      <w:pPr>
        <w:pStyle w:val="10"/>
        <w:numPr>
          <w:ilvl w:val="0"/>
          <w:numId w:val="0"/>
        </w:numPr>
        <w:spacing w:line="360" w:lineRule="auto"/>
        <w:ind w:leftChars="0" w:firstLine="420" w:firstLineChars="200"/>
        <w:rPr>
          <w:rFonts w:hint="default" w:ascii="Times New Roman" w:hAnsi="Times New Roman" w:eastAsia="宋体" w:cs="Times New Roman"/>
          <w:kern w:val="2"/>
          <w:sz w:val="24"/>
          <w:szCs w:val="24"/>
          <w:lang w:val="en-US" w:eastAsia="zh-CN" w:bidi="ar-SA"/>
        </w:rPr>
      </w:pPr>
      <w:r>
        <w:drawing>
          <wp:inline distT="0" distB="0" distL="114300" distR="114300">
            <wp:extent cx="5426075" cy="3813175"/>
            <wp:effectExtent l="0" t="0" r="317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426075" cy="3813175"/>
                    </a:xfrm>
                    <a:prstGeom prst="rect">
                      <a:avLst/>
                    </a:prstGeom>
                    <a:noFill/>
                    <a:ln>
                      <a:noFill/>
                    </a:ln>
                  </pic:spPr>
                </pic:pic>
              </a:graphicData>
            </a:graphic>
          </wp:inline>
        </w:drawing>
      </w:r>
    </w:p>
    <w:p>
      <w:pPr>
        <w:pStyle w:val="10"/>
        <w:numPr>
          <w:ilvl w:val="0"/>
          <w:numId w:val="6"/>
        </w:numPr>
        <w:spacing w:line="360" w:lineRule="auto"/>
        <w:ind w:left="0" w:leftChars="0" w:firstLine="418" w:firstLineChars="200"/>
        <w:rPr>
          <w:rFonts w:hint="eastAsia" w:ascii="宋体" w:eastAsia="宋体" w:cs="Times New Roman"/>
          <w:b/>
          <w:bCs/>
          <w:spacing w:val="-1"/>
          <w:szCs w:val="22"/>
          <w:lang w:val="en-US" w:eastAsia="zh-CN"/>
        </w:rPr>
      </w:pPr>
      <w:r>
        <w:rPr>
          <w:rFonts w:hint="eastAsia" w:ascii="宋体" w:eastAsia="宋体" w:cs="Times New Roman"/>
          <w:b/>
          <w:bCs/>
          <w:spacing w:val="-1"/>
          <w:szCs w:val="22"/>
          <w:lang w:val="en-US" w:eastAsia="zh-CN"/>
        </w:rPr>
        <w:t>改造方式</w:t>
      </w:r>
    </w:p>
    <w:p>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eastAsia="zh-CN"/>
        </w:rPr>
        <w:t>由乙方</w:t>
      </w:r>
      <w:r>
        <w:rPr>
          <w:rFonts w:hint="eastAsia" w:ascii="宋体" w:hAnsi="宋体"/>
          <w:sz w:val="24"/>
          <w:szCs w:val="24"/>
          <w:highlight w:val="none"/>
          <w:lang w:val="en-US" w:eastAsia="zh-CN"/>
        </w:rPr>
        <w:t>出具加工图纸及明细，甲方提供材料并进行加工，乙方负责进行拼接及安装，安装后不干涉涂装线正产运行，且需保证整线通过性≥4000mm，旧升降平台由乙方打磨翻新后安装在擦净室进行使用，道轨甲方提供，乙方负责安装调试。</w:t>
      </w:r>
    </w:p>
    <w:p>
      <w:pPr>
        <w:rPr>
          <w:rFonts w:hint="eastAsia" w:ascii="宋体" w:hAnsi="宋体" w:eastAsia="宋体"/>
          <w:b/>
          <w:sz w:val="28"/>
          <w:szCs w:val="28"/>
          <w:highlight w:val="none"/>
          <w:lang w:val="en-US" w:eastAsia="zh-CN"/>
        </w:rPr>
      </w:pPr>
      <w:r>
        <w:rPr>
          <w:rFonts w:hint="eastAsia" w:ascii="黑体" w:hAnsi="黑体" w:eastAsia="黑体" w:cs="Times New Roman"/>
          <w:b/>
          <w:bCs/>
          <w:kern w:val="2"/>
          <w:sz w:val="28"/>
          <w:szCs w:val="28"/>
          <w:highlight w:val="none"/>
          <w:lang w:val="en-US" w:eastAsia="zh-CN" w:bidi="ar-SA"/>
        </w:rPr>
        <w:t>四、其他要求</w:t>
      </w:r>
    </w:p>
    <w:p>
      <w:pPr>
        <w:spacing w:line="360" w:lineRule="auto"/>
        <w:ind w:firstLine="420" w:firstLineChars="175"/>
        <w:rPr>
          <w:rFonts w:hint="eastAsia" w:ascii="宋体" w:hAnsi="宋体"/>
          <w:color w:val="auto"/>
          <w:sz w:val="24"/>
          <w:szCs w:val="22"/>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 xml:space="preserve">乙方应安排具备相关资质的施工人员在甲方现场施工，遵守甲方现场安全生产有关管理规定,严格按照安全标准组织施工，必须遵守甲方的有关管理制度，服从甲方人员的安排。 </w:t>
      </w:r>
    </w:p>
    <w:p>
      <w:pPr>
        <w:pStyle w:val="10"/>
        <w:spacing w:line="360" w:lineRule="auto"/>
        <w:ind w:firstLine="480" w:firstLineChars="200"/>
        <w:rPr>
          <w:rFonts w:hAnsi="宋体"/>
          <w:sz w:val="24"/>
          <w:szCs w:val="28"/>
          <w:highlight w:val="none"/>
        </w:rPr>
      </w:pPr>
      <w:r>
        <w:rPr>
          <w:rFonts w:hint="eastAsia" w:hAnsi="宋体"/>
          <w:sz w:val="24"/>
          <w:szCs w:val="28"/>
          <w:highlight w:val="none"/>
          <w:lang w:val="en-US" w:eastAsia="zh-CN"/>
        </w:rPr>
        <w:t>2、</w:t>
      </w:r>
      <w:r>
        <w:rPr>
          <w:rFonts w:hint="eastAsia" w:hAnsi="宋体"/>
          <w:sz w:val="24"/>
          <w:szCs w:val="28"/>
          <w:highlight w:val="none"/>
        </w:rPr>
        <w:t>投标人承诺对参与该项目所获得的与招标人产品相关的所有信息都予以保密，并承担与此相关的所有法律责任。</w:t>
      </w:r>
    </w:p>
    <w:p>
      <w:pPr>
        <w:pStyle w:val="10"/>
        <w:spacing w:line="360" w:lineRule="auto"/>
        <w:ind w:firstLine="480" w:firstLineChars="200"/>
        <w:rPr>
          <w:rFonts w:hint="eastAsia" w:hAnsi="宋体"/>
          <w:sz w:val="24"/>
          <w:szCs w:val="28"/>
          <w:highlight w:val="none"/>
        </w:rPr>
      </w:pPr>
      <w:r>
        <w:rPr>
          <w:rFonts w:hint="eastAsia" w:hAnsi="宋体"/>
          <w:sz w:val="24"/>
          <w:szCs w:val="28"/>
          <w:highlight w:val="none"/>
          <w:lang w:val="en-US" w:eastAsia="zh-CN"/>
        </w:rPr>
        <w:t>3、</w:t>
      </w:r>
      <w:r>
        <w:rPr>
          <w:rFonts w:hint="eastAsia" w:hAnsi="宋体"/>
          <w:sz w:val="24"/>
          <w:szCs w:val="28"/>
          <w:highlight w:val="none"/>
        </w:rPr>
        <w:t>其余未尽事宜，投标人应与招标人指派的答疑人员充分沟通，理解认可并接受相关技术规范及服务要求。</w:t>
      </w: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pStyle w:val="10"/>
        <w:spacing w:line="360" w:lineRule="auto"/>
        <w:rPr>
          <w:rFonts w:hint="eastAsia" w:hAnsi="宋体"/>
          <w:sz w:val="24"/>
          <w:szCs w:val="28"/>
          <w:highlight w:val="none"/>
        </w:rPr>
      </w:pPr>
    </w:p>
    <w:p>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pPr>
        <w:adjustRightInd w:val="0"/>
        <w:snapToGrid w:val="0"/>
        <w:spacing w:line="360" w:lineRule="auto"/>
        <w:jc w:val="left"/>
        <w:rPr>
          <w:rFonts w:ascii="宋体" w:hAnsi="宋体"/>
          <w:sz w:val="20"/>
        </w:rPr>
      </w:pP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rPr>
      </w:pPr>
    </w:p>
    <w:p>
      <w:pPr>
        <w:adjustRightInd w:val="0"/>
        <w:snapToGrid w:val="0"/>
        <w:spacing w:line="360" w:lineRule="auto"/>
        <w:jc w:val="center"/>
        <w:rPr>
          <w:rFonts w:ascii="宋体" w:hAnsi="宋体"/>
          <w:b/>
          <w:sz w:val="52"/>
          <w:szCs w:val="36"/>
        </w:rPr>
      </w:pPr>
      <w:r>
        <w:rPr>
          <w:rFonts w:hint="eastAsia" w:ascii="宋体" w:hAnsi="宋体"/>
          <w:b/>
          <w:bCs/>
          <w:sz w:val="52"/>
          <w:szCs w:val="36"/>
        </w:rPr>
        <w:t>设备</w:t>
      </w:r>
      <w:r>
        <w:rPr>
          <w:rFonts w:hint="eastAsia" w:ascii="宋体" w:hAnsi="宋体"/>
          <w:b/>
          <w:bCs/>
          <w:sz w:val="52"/>
          <w:szCs w:val="36"/>
          <w:lang w:eastAsia="zh-CN"/>
        </w:rPr>
        <w:t>维修</w:t>
      </w:r>
      <w:r>
        <w:rPr>
          <w:rFonts w:ascii="宋体" w:hAnsi="宋体"/>
          <w:b/>
          <w:bCs/>
          <w:sz w:val="52"/>
          <w:szCs w:val="36"/>
        </w:rPr>
        <w:t>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pPr>
        <w:adjustRightInd w:val="0"/>
        <w:snapToGrid w:val="0"/>
        <w:spacing w:line="360" w:lineRule="auto"/>
        <w:ind w:firstLine="1124" w:firstLineChars="400"/>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pPr>
        <w:spacing w:line="360" w:lineRule="auto"/>
      </w:pPr>
    </w:p>
    <w:p>
      <w:pPr>
        <w:spacing w:line="360" w:lineRule="auto"/>
        <w:rPr>
          <w:rFonts w:hint="eastAsia" w:ascii="宋体" w:hAnsi="宋体" w:eastAsia="宋体" w:cs="宋体"/>
          <w:bCs/>
          <w:sz w:val="22"/>
          <w:szCs w:val="22"/>
          <w:lang w:eastAsia="zh-CN"/>
        </w:rPr>
      </w:pPr>
      <w:r>
        <w:rPr>
          <w:rFonts w:hint="eastAsia" w:ascii="宋体" w:hAnsi="宋体" w:cs="宋体"/>
          <w:bCs/>
          <w:sz w:val="22"/>
          <w:szCs w:val="22"/>
        </w:rPr>
        <w:t>甲方（委托方）：</w:t>
      </w:r>
      <w:r>
        <w:rPr>
          <w:rFonts w:hint="eastAsia" w:ascii="宋体" w:hAnsi="宋体" w:cs="宋体"/>
          <w:bCs/>
          <w:sz w:val="22"/>
          <w:szCs w:val="22"/>
          <w:lang w:eastAsia="zh-CN"/>
        </w:rPr>
        <w:t>中国重汽集团泰安五岳专用汽车有限公司</w:t>
      </w:r>
    </w:p>
    <w:p>
      <w:pPr>
        <w:spacing w:line="360" w:lineRule="auto"/>
        <w:rPr>
          <w:rFonts w:ascii="宋体" w:hAnsi="宋体" w:cs="宋体"/>
          <w:bCs/>
          <w:sz w:val="22"/>
          <w:szCs w:val="22"/>
        </w:rPr>
      </w:pPr>
    </w:p>
    <w:p>
      <w:pPr>
        <w:spacing w:line="360" w:lineRule="auto"/>
        <w:rPr>
          <w:rFonts w:ascii="宋体" w:hAnsi="宋体" w:cs="宋体"/>
          <w:bCs/>
          <w:sz w:val="22"/>
          <w:szCs w:val="22"/>
        </w:rPr>
      </w:pPr>
      <w:r>
        <w:rPr>
          <w:rFonts w:hint="eastAsia" w:ascii="宋体" w:hAnsi="宋体" w:cs="宋体"/>
          <w:bCs/>
          <w:sz w:val="22"/>
          <w:szCs w:val="22"/>
        </w:rPr>
        <w:t>乙方（承揽方）：</w:t>
      </w:r>
    </w:p>
    <w:p>
      <w:pPr>
        <w:spacing w:line="360" w:lineRule="auto"/>
        <w:rPr>
          <w:rFonts w:ascii="宋体" w:hAnsi="宋体" w:cs="宋体"/>
          <w:bCs/>
          <w:sz w:val="22"/>
          <w:szCs w:val="22"/>
        </w:rPr>
      </w:pPr>
    </w:p>
    <w:p>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w:t>
      </w:r>
      <w:r>
        <w:rPr>
          <w:rFonts w:hint="eastAsia" w:ascii="宋体" w:hAnsi="宋体" w:cs="宋体"/>
          <w:sz w:val="22"/>
          <w:szCs w:val="22"/>
          <w:lang w:eastAsia="zh-CN"/>
        </w:rPr>
        <w:t>改造</w:t>
      </w:r>
      <w:r>
        <w:rPr>
          <w:rFonts w:hint="eastAsia" w:ascii="宋体" w:hAnsi="宋体" w:cs="宋体"/>
          <w:sz w:val="22"/>
          <w:szCs w:val="22"/>
        </w:rPr>
        <w:t>，经双方充分协商，订立本合同，以便共同遵守。</w:t>
      </w:r>
    </w:p>
    <w:p>
      <w:pPr>
        <w:numPr>
          <w:ilvl w:val="0"/>
          <w:numId w:val="7"/>
        </w:numPr>
        <w:spacing w:line="360" w:lineRule="auto"/>
        <w:rPr>
          <w:rFonts w:hint="eastAsia" w:ascii="宋体" w:hAnsi="宋体" w:cs="宋体"/>
          <w:b/>
          <w:sz w:val="20"/>
        </w:rPr>
      </w:pPr>
      <w:r>
        <w:rPr>
          <w:rFonts w:hint="eastAsia" w:ascii="宋体" w:hAnsi="宋体" w:cs="宋体"/>
          <w:b/>
          <w:sz w:val="20"/>
          <w:lang w:eastAsia="zh-CN"/>
        </w:rPr>
        <w:t>设备明细</w:t>
      </w:r>
      <w:r>
        <w:rPr>
          <w:rFonts w:hint="eastAsia" w:ascii="宋体" w:hAnsi="宋体" w:cs="宋体"/>
          <w:b/>
          <w:sz w:val="20"/>
        </w:rPr>
        <w:t>：</w:t>
      </w:r>
    </w:p>
    <w:tbl>
      <w:tblPr>
        <w:tblStyle w:val="21"/>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520"/>
        <w:gridCol w:w="157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jc w:val="center"/>
              <w:rPr>
                <w:rFonts w:hint="default" w:ascii="仿宋" w:hAnsi="仿宋" w:eastAsia="仿宋" w:cs="仿宋"/>
                <w:sz w:val="21"/>
                <w:szCs w:val="21"/>
                <w:vertAlign w:val="baseline"/>
                <w:lang w:val="en-US" w:eastAsia="zh-CN"/>
              </w:rPr>
            </w:pPr>
          </w:p>
        </w:tc>
        <w:tc>
          <w:tcPr>
            <w:tcW w:w="2520" w:type="dxa"/>
          </w:tcPr>
          <w:p>
            <w:pPr>
              <w:jc w:val="center"/>
              <w:rPr>
                <w:rFonts w:hint="default" w:ascii="仿宋" w:hAnsi="仿宋" w:eastAsia="仿宋" w:cs="仿宋"/>
                <w:sz w:val="21"/>
                <w:szCs w:val="21"/>
                <w:vertAlign w:val="baseline"/>
                <w:lang w:val="en-US" w:eastAsia="zh-CN"/>
              </w:rPr>
            </w:pPr>
          </w:p>
        </w:tc>
        <w:tc>
          <w:tcPr>
            <w:tcW w:w="1575" w:type="dxa"/>
          </w:tcPr>
          <w:p>
            <w:pPr>
              <w:jc w:val="center"/>
              <w:rPr>
                <w:rFonts w:hint="default" w:ascii="仿宋" w:hAnsi="仿宋" w:eastAsia="仿宋" w:cs="仿宋"/>
                <w:sz w:val="21"/>
                <w:szCs w:val="21"/>
                <w:vertAlign w:val="baseline"/>
                <w:lang w:val="en-US" w:eastAsia="zh-CN"/>
              </w:rPr>
            </w:pPr>
          </w:p>
        </w:tc>
        <w:tc>
          <w:tcPr>
            <w:tcW w:w="1365" w:type="dxa"/>
            <w:vAlign w:val="top"/>
          </w:tcPr>
          <w:p>
            <w:pPr>
              <w:jc w:val="center"/>
              <w:rPr>
                <w:rFonts w:hint="eastAsia" w:ascii="仿宋" w:hAnsi="仿宋" w:eastAsia="仿宋" w:cs="仿宋"/>
                <w:kern w:val="2"/>
                <w:sz w:val="21"/>
                <w:szCs w:val="21"/>
                <w:vertAlign w:val="baseline"/>
                <w:lang w:val="en-US" w:eastAsia="zh-CN" w:bidi="ar-SA"/>
              </w:rPr>
            </w:pPr>
          </w:p>
        </w:tc>
        <w:tc>
          <w:tcPr>
            <w:tcW w:w="1365" w:type="dxa"/>
            <w:vAlign w:val="top"/>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jc w:val="center"/>
              <w:rPr>
                <w:rFonts w:hint="default" w:ascii="仿宋" w:hAnsi="仿宋" w:eastAsia="仿宋" w:cs="仿宋"/>
                <w:sz w:val="21"/>
                <w:szCs w:val="21"/>
                <w:vertAlign w:val="baseline"/>
                <w:lang w:val="en-US" w:eastAsia="zh-CN"/>
              </w:rPr>
            </w:pPr>
          </w:p>
        </w:tc>
        <w:tc>
          <w:tcPr>
            <w:tcW w:w="2520" w:type="dxa"/>
          </w:tcPr>
          <w:p>
            <w:pPr>
              <w:jc w:val="center"/>
              <w:rPr>
                <w:rFonts w:hint="default" w:ascii="仿宋" w:hAnsi="仿宋" w:eastAsia="仿宋" w:cs="仿宋"/>
                <w:sz w:val="21"/>
                <w:szCs w:val="21"/>
                <w:vertAlign w:val="baseline"/>
                <w:lang w:val="en-US" w:eastAsia="zh-CN"/>
              </w:rPr>
            </w:pPr>
          </w:p>
        </w:tc>
        <w:tc>
          <w:tcPr>
            <w:tcW w:w="1575" w:type="dxa"/>
          </w:tcPr>
          <w:p>
            <w:pPr>
              <w:jc w:val="center"/>
              <w:rPr>
                <w:rFonts w:hint="default" w:ascii="仿宋" w:hAnsi="仿宋" w:eastAsia="仿宋" w:cs="仿宋"/>
                <w:sz w:val="21"/>
                <w:szCs w:val="21"/>
                <w:vertAlign w:val="baseline"/>
                <w:lang w:val="en-US" w:eastAsia="zh-CN"/>
              </w:rPr>
            </w:pPr>
          </w:p>
        </w:tc>
        <w:tc>
          <w:tcPr>
            <w:tcW w:w="1365" w:type="dxa"/>
            <w:vAlign w:val="top"/>
          </w:tcPr>
          <w:p>
            <w:pPr>
              <w:jc w:val="center"/>
              <w:rPr>
                <w:rFonts w:hint="eastAsia" w:ascii="仿宋" w:hAnsi="仿宋" w:eastAsia="仿宋" w:cs="仿宋"/>
                <w:kern w:val="2"/>
                <w:sz w:val="21"/>
                <w:szCs w:val="21"/>
                <w:vertAlign w:val="baseline"/>
                <w:lang w:val="en-US" w:eastAsia="zh-CN" w:bidi="ar-SA"/>
              </w:rPr>
            </w:pPr>
          </w:p>
        </w:tc>
        <w:tc>
          <w:tcPr>
            <w:tcW w:w="1365" w:type="dxa"/>
            <w:vAlign w:val="top"/>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jc w:val="center"/>
              <w:rPr>
                <w:rFonts w:hint="default" w:ascii="仿宋" w:hAnsi="仿宋" w:eastAsia="仿宋" w:cs="仿宋"/>
                <w:sz w:val="21"/>
                <w:szCs w:val="21"/>
                <w:vertAlign w:val="baseline"/>
                <w:lang w:val="en-US" w:eastAsia="zh-CN"/>
              </w:rPr>
            </w:pPr>
          </w:p>
        </w:tc>
        <w:tc>
          <w:tcPr>
            <w:tcW w:w="2520" w:type="dxa"/>
          </w:tcPr>
          <w:p>
            <w:pPr>
              <w:jc w:val="center"/>
              <w:rPr>
                <w:rFonts w:hint="default" w:ascii="仿宋" w:hAnsi="仿宋" w:eastAsia="仿宋" w:cs="仿宋"/>
                <w:sz w:val="21"/>
                <w:szCs w:val="21"/>
                <w:vertAlign w:val="baseline"/>
                <w:lang w:val="en-US" w:eastAsia="zh-CN"/>
              </w:rPr>
            </w:pPr>
          </w:p>
        </w:tc>
        <w:tc>
          <w:tcPr>
            <w:tcW w:w="1575" w:type="dxa"/>
          </w:tcPr>
          <w:p>
            <w:pPr>
              <w:jc w:val="center"/>
              <w:rPr>
                <w:rFonts w:hint="default" w:ascii="仿宋" w:hAnsi="仿宋" w:eastAsia="仿宋" w:cs="仿宋"/>
                <w:sz w:val="21"/>
                <w:szCs w:val="21"/>
                <w:vertAlign w:val="baseline"/>
                <w:lang w:val="en-US" w:eastAsia="zh-CN"/>
              </w:rPr>
            </w:pPr>
          </w:p>
        </w:tc>
        <w:tc>
          <w:tcPr>
            <w:tcW w:w="1365" w:type="dxa"/>
            <w:vAlign w:val="top"/>
          </w:tcPr>
          <w:p>
            <w:pPr>
              <w:jc w:val="center"/>
              <w:rPr>
                <w:rFonts w:hint="eastAsia" w:ascii="仿宋" w:hAnsi="仿宋" w:eastAsia="仿宋" w:cs="仿宋"/>
                <w:kern w:val="2"/>
                <w:sz w:val="21"/>
                <w:szCs w:val="21"/>
                <w:vertAlign w:val="baseline"/>
                <w:lang w:val="en-US" w:eastAsia="zh-CN" w:bidi="ar-SA"/>
              </w:rPr>
            </w:pPr>
          </w:p>
        </w:tc>
        <w:tc>
          <w:tcPr>
            <w:tcW w:w="1365" w:type="dxa"/>
            <w:vAlign w:val="top"/>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jc w:val="center"/>
              <w:rPr>
                <w:rFonts w:hint="default" w:ascii="仿宋" w:hAnsi="仿宋" w:eastAsia="仿宋" w:cs="仿宋"/>
                <w:sz w:val="21"/>
                <w:szCs w:val="21"/>
                <w:vertAlign w:val="baseline"/>
                <w:lang w:val="en-US" w:eastAsia="zh-CN"/>
              </w:rPr>
            </w:pPr>
          </w:p>
        </w:tc>
        <w:tc>
          <w:tcPr>
            <w:tcW w:w="2520" w:type="dxa"/>
          </w:tcPr>
          <w:p>
            <w:pPr>
              <w:jc w:val="center"/>
              <w:rPr>
                <w:rFonts w:hint="default" w:ascii="仿宋" w:hAnsi="仿宋" w:eastAsia="仿宋" w:cs="仿宋"/>
                <w:sz w:val="21"/>
                <w:szCs w:val="21"/>
                <w:vertAlign w:val="baseline"/>
                <w:lang w:val="en-US" w:eastAsia="zh-CN"/>
              </w:rPr>
            </w:pPr>
          </w:p>
        </w:tc>
        <w:tc>
          <w:tcPr>
            <w:tcW w:w="1575" w:type="dxa"/>
          </w:tcPr>
          <w:p>
            <w:pPr>
              <w:jc w:val="center"/>
              <w:rPr>
                <w:rFonts w:hint="default" w:ascii="仿宋" w:hAnsi="仿宋" w:eastAsia="仿宋" w:cs="仿宋"/>
                <w:sz w:val="21"/>
                <w:szCs w:val="21"/>
                <w:vertAlign w:val="baseline"/>
                <w:lang w:val="en-US" w:eastAsia="zh-CN"/>
              </w:rPr>
            </w:pPr>
          </w:p>
        </w:tc>
        <w:tc>
          <w:tcPr>
            <w:tcW w:w="1365" w:type="dxa"/>
            <w:vAlign w:val="top"/>
          </w:tcPr>
          <w:p>
            <w:pPr>
              <w:jc w:val="center"/>
              <w:rPr>
                <w:rFonts w:hint="eastAsia" w:ascii="仿宋" w:hAnsi="仿宋" w:eastAsia="仿宋" w:cs="仿宋"/>
                <w:kern w:val="2"/>
                <w:sz w:val="21"/>
                <w:szCs w:val="21"/>
                <w:vertAlign w:val="baseline"/>
                <w:lang w:val="en-US" w:eastAsia="zh-CN" w:bidi="ar-SA"/>
              </w:rPr>
            </w:pPr>
          </w:p>
        </w:tc>
        <w:tc>
          <w:tcPr>
            <w:tcW w:w="1365" w:type="dxa"/>
            <w:vAlign w:val="top"/>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jc w:val="center"/>
              <w:rPr>
                <w:rFonts w:hint="default" w:ascii="仿宋" w:hAnsi="仿宋" w:eastAsia="仿宋" w:cs="仿宋"/>
                <w:sz w:val="21"/>
                <w:szCs w:val="21"/>
                <w:vertAlign w:val="baseline"/>
                <w:lang w:val="en-US" w:eastAsia="zh-CN"/>
              </w:rPr>
            </w:pPr>
          </w:p>
        </w:tc>
        <w:tc>
          <w:tcPr>
            <w:tcW w:w="2520" w:type="dxa"/>
          </w:tcPr>
          <w:p>
            <w:pPr>
              <w:jc w:val="center"/>
              <w:rPr>
                <w:rFonts w:hint="default" w:ascii="仿宋" w:hAnsi="仿宋" w:eastAsia="仿宋" w:cs="仿宋"/>
                <w:sz w:val="21"/>
                <w:szCs w:val="21"/>
                <w:vertAlign w:val="baseline"/>
                <w:lang w:val="en-US" w:eastAsia="zh-CN"/>
              </w:rPr>
            </w:pPr>
          </w:p>
        </w:tc>
        <w:tc>
          <w:tcPr>
            <w:tcW w:w="1575" w:type="dxa"/>
          </w:tcPr>
          <w:p>
            <w:pPr>
              <w:jc w:val="center"/>
              <w:rPr>
                <w:rFonts w:hint="eastAsia" w:ascii="仿宋" w:hAnsi="仿宋" w:eastAsia="仿宋" w:cs="仿宋"/>
                <w:sz w:val="21"/>
                <w:szCs w:val="21"/>
                <w:vertAlign w:val="baseline"/>
                <w:lang w:val="en-US" w:eastAsia="zh-CN"/>
              </w:rPr>
            </w:pPr>
          </w:p>
        </w:tc>
        <w:tc>
          <w:tcPr>
            <w:tcW w:w="1365" w:type="dxa"/>
            <w:vAlign w:val="top"/>
          </w:tcPr>
          <w:p>
            <w:pPr>
              <w:jc w:val="center"/>
              <w:rPr>
                <w:rFonts w:hint="eastAsia" w:ascii="仿宋" w:hAnsi="仿宋" w:eastAsia="仿宋" w:cs="仿宋"/>
                <w:kern w:val="2"/>
                <w:sz w:val="21"/>
                <w:szCs w:val="21"/>
                <w:vertAlign w:val="baseline"/>
                <w:lang w:val="en-US" w:eastAsia="zh-CN" w:bidi="ar-SA"/>
              </w:rPr>
            </w:pPr>
          </w:p>
        </w:tc>
        <w:tc>
          <w:tcPr>
            <w:tcW w:w="1365" w:type="dxa"/>
            <w:vAlign w:val="top"/>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jc w:val="center"/>
              <w:rPr>
                <w:rFonts w:hint="default" w:ascii="仿宋" w:hAnsi="仿宋" w:eastAsia="仿宋" w:cs="仿宋"/>
                <w:sz w:val="21"/>
                <w:szCs w:val="21"/>
                <w:vertAlign w:val="baseline"/>
                <w:lang w:val="en-US" w:eastAsia="zh-CN"/>
              </w:rPr>
            </w:pPr>
          </w:p>
        </w:tc>
        <w:tc>
          <w:tcPr>
            <w:tcW w:w="2520" w:type="dxa"/>
          </w:tcPr>
          <w:p>
            <w:pPr>
              <w:jc w:val="center"/>
              <w:rPr>
                <w:rFonts w:hint="default" w:ascii="仿宋" w:hAnsi="仿宋" w:eastAsia="仿宋" w:cs="仿宋"/>
                <w:sz w:val="21"/>
                <w:szCs w:val="21"/>
                <w:vertAlign w:val="baseline"/>
                <w:lang w:val="en-US" w:eastAsia="zh-CN"/>
              </w:rPr>
            </w:pPr>
          </w:p>
        </w:tc>
        <w:tc>
          <w:tcPr>
            <w:tcW w:w="1575" w:type="dxa"/>
          </w:tcPr>
          <w:p>
            <w:pPr>
              <w:jc w:val="center"/>
              <w:rPr>
                <w:rFonts w:hint="default" w:ascii="仿宋" w:hAnsi="仿宋" w:eastAsia="仿宋" w:cs="仿宋"/>
                <w:sz w:val="21"/>
                <w:szCs w:val="21"/>
                <w:vertAlign w:val="baseline"/>
                <w:lang w:val="en-US" w:eastAsia="zh-CN"/>
              </w:rPr>
            </w:pPr>
          </w:p>
        </w:tc>
        <w:tc>
          <w:tcPr>
            <w:tcW w:w="1365" w:type="dxa"/>
            <w:vAlign w:val="top"/>
          </w:tcPr>
          <w:p>
            <w:pPr>
              <w:jc w:val="center"/>
              <w:rPr>
                <w:rFonts w:hint="eastAsia" w:ascii="仿宋" w:hAnsi="仿宋" w:eastAsia="仿宋" w:cs="仿宋"/>
                <w:kern w:val="2"/>
                <w:sz w:val="21"/>
                <w:szCs w:val="21"/>
                <w:vertAlign w:val="baseline"/>
                <w:lang w:val="en-US" w:eastAsia="zh-CN" w:bidi="ar-SA"/>
              </w:rPr>
            </w:pPr>
          </w:p>
        </w:tc>
        <w:tc>
          <w:tcPr>
            <w:tcW w:w="1365" w:type="dxa"/>
            <w:vAlign w:val="top"/>
          </w:tcPr>
          <w:p>
            <w:pPr>
              <w:jc w:val="center"/>
              <w:rPr>
                <w:rFonts w:hint="eastAsia" w:ascii="仿宋" w:hAnsi="仿宋" w:eastAsia="仿宋" w:cs="仿宋"/>
                <w:sz w:val="21"/>
                <w:szCs w:val="21"/>
                <w:vertAlign w:val="baseline"/>
                <w:lang w:val="en-US" w:eastAsia="zh-CN"/>
              </w:rPr>
            </w:pPr>
          </w:p>
        </w:tc>
      </w:tr>
    </w:tbl>
    <w:p>
      <w:pPr>
        <w:numPr>
          <w:ilvl w:val="0"/>
          <w:numId w:val="0"/>
        </w:numPr>
        <w:ind w:firstLine="660" w:firstLineChars="300"/>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（含税、含安装、含运费）</w:t>
      </w:r>
    </w:p>
    <w:p>
      <w:pPr>
        <w:spacing w:line="360" w:lineRule="auto"/>
        <w:rPr>
          <w:rFonts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pPr>
        <w:spacing w:line="360" w:lineRule="auto"/>
        <w:ind w:firstLine="400" w:firstLineChars="200"/>
        <w:rPr>
          <w:rFonts w:ascii="宋体" w:hAnsi="宋体" w:cs="宋体"/>
          <w:sz w:val="20"/>
        </w:rPr>
      </w:pPr>
      <w:r>
        <w:rPr>
          <w:rFonts w:hint="eastAsia" w:ascii="宋体" w:hAnsi="宋体" w:cs="宋体"/>
          <w:sz w:val="20"/>
          <w:lang w:eastAsia="zh-CN"/>
        </w:rPr>
        <w:t>改造</w:t>
      </w:r>
      <w:r>
        <w:rPr>
          <w:rFonts w:hint="eastAsia" w:ascii="宋体" w:hAnsi="宋体" w:cs="宋体"/>
          <w:sz w:val="20"/>
        </w:rPr>
        <w:t>方式：按双方签订的技术协议相关内容进行</w:t>
      </w:r>
      <w:r>
        <w:rPr>
          <w:rFonts w:hint="eastAsia" w:ascii="宋体" w:hAnsi="宋体" w:cs="宋体"/>
          <w:sz w:val="20"/>
          <w:lang w:eastAsia="zh-CN"/>
        </w:rPr>
        <w:t>改造</w:t>
      </w:r>
      <w:r>
        <w:rPr>
          <w:rFonts w:hint="eastAsia" w:ascii="宋体" w:hAnsi="宋体" w:cs="宋体"/>
          <w:sz w:val="20"/>
        </w:rPr>
        <w:t>。技术协议作为本合同附件。</w:t>
      </w:r>
    </w:p>
    <w:p>
      <w:pPr>
        <w:spacing w:line="360" w:lineRule="auto"/>
        <w:ind w:left="394" w:hanging="394" w:hangingChars="196"/>
        <w:rPr>
          <w:rFonts w:ascii="宋体" w:hAnsi="宋体" w:cs="宋体"/>
          <w:sz w:val="20"/>
        </w:rPr>
      </w:pPr>
      <w:r>
        <w:rPr>
          <w:rFonts w:hint="eastAsia" w:ascii="宋体" w:hAnsi="宋体" w:cs="宋体"/>
          <w:b/>
          <w:sz w:val="20"/>
        </w:rPr>
        <w:t>三、运输要求</w:t>
      </w:r>
    </w:p>
    <w:p>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1.3乙方现场对设备情况予以确认，有异议及时提出，乙方一旦接收，则视为甲方的设备符合乙方确认的状态，并适合运输，以后所发现的设备部件缺失等情况由乙方负责补齐。</w:t>
      </w:r>
    </w:p>
    <w:p>
      <w:pPr>
        <w:spacing w:line="360" w:lineRule="auto"/>
        <w:rPr>
          <w:rFonts w:ascii="宋体" w:hAnsi="宋体" w:cs="宋体"/>
          <w:b/>
          <w:sz w:val="20"/>
        </w:rPr>
      </w:pPr>
      <w:r>
        <w:rPr>
          <w:rFonts w:hint="eastAsia" w:ascii="宋体" w:hAnsi="宋体" w:cs="宋体"/>
          <w:b/>
          <w:sz w:val="20"/>
        </w:rPr>
        <w:t>四、包装标准、包装物的供应与回收：</w:t>
      </w:r>
    </w:p>
    <w:p>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pPr>
        <w:spacing w:line="360" w:lineRule="auto"/>
        <w:rPr>
          <w:rFonts w:ascii="宋体" w:hAnsi="宋体" w:cs="宋体"/>
          <w:b/>
          <w:sz w:val="20"/>
        </w:rPr>
      </w:pPr>
      <w:r>
        <w:rPr>
          <w:rFonts w:hint="eastAsia" w:ascii="宋体" w:hAnsi="宋体" w:cs="宋体"/>
          <w:b/>
          <w:sz w:val="20"/>
        </w:rPr>
        <w:t>六、结算及付款方式：</w:t>
      </w:r>
    </w:p>
    <w:p>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电汇</w:t>
      </w:r>
      <w:r>
        <w:rPr>
          <w:rFonts w:hint="eastAsia" w:ascii="宋体" w:hAnsi="宋体" w:cs="宋体"/>
          <w:sz w:val="20"/>
          <w:u w:val="single"/>
        </w:rPr>
        <w:t xml:space="preserve"> </w:t>
      </w:r>
      <w:r>
        <w:rPr>
          <w:rFonts w:hint="eastAsia" w:ascii="宋体" w:hAnsi="宋体" w:cs="宋体"/>
          <w:sz w:val="20"/>
        </w:rPr>
        <w:t>。</w:t>
      </w:r>
    </w:p>
    <w:p>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1.2.1设备到货安装</w:t>
      </w:r>
      <w:r>
        <w:rPr>
          <w:rFonts w:hint="eastAsia" w:ascii="宋体" w:hAnsi="宋体" w:cs="宋体"/>
          <w:sz w:val="20"/>
          <w:szCs w:val="20"/>
          <w:lang w:eastAsia="zh-CN"/>
        </w:rPr>
        <w:t>完毕</w:t>
      </w:r>
      <w:r>
        <w:rPr>
          <w:rFonts w:hint="eastAsia" w:ascii="宋体" w:hAnsi="宋体" w:cs="宋体"/>
          <w:sz w:val="20"/>
          <w:szCs w:val="20"/>
          <w:lang w:val="en-US" w:eastAsia="zh-CN"/>
        </w:rPr>
        <w:t>后</w:t>
      </w:r>
      <w:r>
        <w:rPr>
          <w:rFonts w:hint="eastAsia" w:ascii="宋体" w:hAnsi="宋体" w:cs="宋体"/>
          <w:sz w:val="20"/>
          <w:szCs w:val="20"/>
          <w:lang w:eastAsia="zh-CN"/>
        </w:rPr>
        <w:t>，经甲方验收合格后，甲方出具书面验收单，乙方提供含税13％的全额增值税专用发票，依照公司财务制度审核无误挂账后次月支付</w:t>
      </w:r>
      <w:r>
        <w:rPr>
          <w:rFonts w:hint="eastAsia" w:ascii="宋体" w:hAnsi="宋体" w:cs="宋体"/>
          <w:sz w:val="20"/>
          <w:szCs w:val="20"/>
          <w:lang w:val="en-US" w:eastAsia="zh-CN"/>
        </w:rPr>
        <w:t>95%</w:t>
      </w:r>
      <w:r>
        <w:rPr>
          <w:rFonts w:hint="eastAsia" w:ascii="宋体" w:hAnsi="宋体" w:cs="宋体"/>
          <w:sz w:val="20"/>
          <w:szCs w:val="20"/>
          <w:lang w:eastAsia="zh-CN"/>
        </w:rPr>
        <w:t>。</w:t>
      </w:r>
    </w:p>
    <w:p>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1.2.2</w:t>
      </w:r>
      <w:r>
        <w:rPr>
          <w:rFonts w:hint="eastAsia" w:ascii="宋体" w:hAnsi="宋体" w:cs="宋体"/>
          <w:sz w:val="20"/>
          <w:szCs w:val="20"/>
          <w:lang w:eastAsia="zh-CN"/>
        </w:rPr>
        <w:t>剩余价款的</w:t>
      </w:r>
      <w:r>
        <w:rPr>
          <w:rFonts w:hint="eastAsia" w:ascii="宋体" w:hAnsi="宋体" w:cs="宋体"/>
          <w:sz w:val="20"/>
          <w:szCs w:val="20"/>
          <w:lang w:val="en-US" w:eastAsia="zh-CN"/>
        </w:rPr>
        <w:t>5</w:t>
      </w:r>
      <w:r>
        <w:rPr>
          <w:rFonts w:hint="eastAsia" w:ascii="宋体" w:hAnsi="宋体" w:cs="宋体"/>
          <w:sz w:val="20"/>
          <w:szCs w:val="20"/>
          <w:lang w:eastAsia="zh-CN"/>
        </w:rPr>
        <w:t xml:space="preserve">%作为质量保证金，质量保证金在本合同约定的质量保证期内不计利息，待设备质量保证期满后，经甲方依照财务制度审核无误后 </w:t>
      </w:r>
      <w:r>
        <w:rPr>
          <w:rFonts w:hint="eastAsia" w:ascii="宋体" w:hAnsi="宋体" w:cs="宋体"/>
          <w:sz w:val="20"/>
          <w:szCs w:val="20"/>
          <w:lang w:val="en-US" w:eastAsia="zh-CN"/>
        </w:rPr>
        <w:t>30</w:t>
      </w:r>
      <w:r>
        <w:rPr>
          <w:rFonts w:hint="eastAsia" w:ascii="宋体" w:hAnsi="宋体" w:cs="宋体"/>
          <w:sz w:val="20"/>
          <w:szCs w:val="20"/>
          <w:lang w:eastAsia="zh-CN"/>
        </w:rPr>
        <w:t xml:space="preserve"> 日内支付；如有质量问题，质量保证金予以扣除。</w:t>
      </w:r>
    </w:p>
    <w:p>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lang w:val="en-US" w:eastAsia="zh-CN"/>
        </w:rPr>
        <w:t>24个月</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5</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pPr>
        <w:spacing w:line="360" w:lineRule="auto"/>
        <w:ind w:right="-105" w:rightChars="-50"/>
        <w:rPr>
          <w:rFonts w:ascii="宋体" w:hAnsi="宋体" w:cs="宋体"/>
          <w:b/>
          <w:sz w:val="20"/>
        </w:rPr>
      </w:pPr>
      <w:r>
        <w:rPr>
          <w:rFonts w:hint="eastAsia" w:ascii="宋体" w:hAnsi="宋体" w:cs="宋体"/>
          <w:b/>
          <w:sz w:val="20"/>
        </w:rPr>
        <w:t>八、保密条款</w:t>
      </w:r>
    </w:p>
    <w:p>
      <w:pPr>
        <w:spacing w:line="360" w:lineRule="auto"/>
        <w:ind w:firstLine="400" w:firstLineChars="200"/>
        <w:rPr>
          <w:rFonts w:ascii="宋体" w:hAnsi="宋体" w:cs="宋体"/>
          <w:sz w:val="20"/>
        </w:rPr>
      </w:pPr>
      <w:r>
        <w:rPr>
          <w:rFonts w:hint="eastAsia" w:ascii="宋体" w:hAnsi="宋体" w:cs="宋体"/>
          <w:sz w:val="20"/>
        </w:rPr>
        <w:t>乙方在</w:t>
      </w:r>
      <w:r>
        <w:rPr>
          <w:rFonts w:hint="eastAsia" w:ascii="宋体" w:hAnsi="宋体" w:cs="宋体"/>
          <w:sz w:val="20"/>
          <w:lang w:eastAsia="zh-CN"/>
        </w:rPr>
        <w:t>改造</w:t>
      </w:r>
      <w:r>
        <w:rPr>
          <w:rFonts w:hint="eastAsia" w:ascii="宋体" w:hAnsi="宋体" w:cs="宋体"/>
          <w:sz w:val="20"/>
        </w:rPr>
        <w:t>过程中掌握的甲方的业务、产品、程序、研究或与之有关的一切数据、工艺、配方、图纸等，均属于甲方的商业秘密，未经甲方书面允许，乙方不得披露给任何第三人。设备</w:t>
      </w:r>
      <w:r>
        <w:rPr>
          <w:rFonts w:hint="eastAsia" w:ascii="宋体" w:hAnsi="宋体" w:cs="宋体"/>
          <w:sz w:val="20"/>
          <w:lang w:eastAsia="zh-CN"/>
        </w:rPr>
        <w:t>改造</w:t>
      </w:r>
      <w:r>
        <w:rPr>
          <w:rFonts w:hint="eastAsia" w:ascii="宋体" w:hAnsi="宋体" w:cs="宋体"/>
          <w:sz w:val="20"/>
        </w:rPr>
        <w:t xml:space="preserve">完成后，乙方须将掌握的上述商业秘密全部返还给甲方，不得以任何形式和载体备份自留。 </w:t>
      </w:r>
    </w:p>
    <w:p>
      <w:pPr>
        <w:spacing w:line="360" w:lineRule="auto"/>
        <w:rPr>
          <w:rFonts w:ascii="宋体" w:hAnsi="宋体" w:cs="宋体"/>
          <w:b/>
          <w:sz w:val="20"/>
        </w:rPr>
      </w:pPr>
      <w:r>
        <w:rPr>
          <w:rFonts w:hint="eastAsia" w:ascii="宋体" w:hAnsi="宋体" w:cs="宋体"/>
          <w:b/>
          <w:sz w:val="20"/>
        </w:rPr>
        <w:t>九、其它约定</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pPr>
        <w:spacing w:line="360" w:lineRule="auto"/>
        <w:ind w:firstLine="400" w:firstLineChars="200"/>
        <w:rPr>
          <w:rFonts w:ascii="宋体" w:hAnsi="宋体" w:cs="宋体"/>
          <w:sz w:val="20"/>
        </w:rPr>
      </w:pPr>
      <w:r>
        <w:rPr>
          <w:rFonts w:hint="eastAsia" w:ascii="宋体" w:hAnsi="宋体" w:cs="宋体"/>
          <w:sz w:val="20"/>
        </w:rPr>
        <w:t>4、设备从拆解、运输、</w:t>
      </w:r>
      <w:r>
        <w:rPr>
          <w:rFonts w:hint="eastAsia" w:ascii="宋体" w:hAnsi="宋体" w:cs="宋体"/>
          <w:sz w:val="20"/>
          <w:lang w:eastAsia="zh-CN"/>
        </w:rPr>
        <w:t>改造</w:t>
      </w:r>
      <w:r>
        <w:rPr>
          <w:rFonts w:hint="eastAsia" w:ascii="宋体" w:hAnsi="宋体" w:cs="宋体"/>
          <w:sz w:val="20"/>
        </w:rPr>
        <w:t>至设备安装调试完成期间所发生的设备毁损风险及责任全部由乙方承担。</w:t>
      </w:r>
    </w:p>
    <w:p>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pPr>
        <w:spacing w:line="360" w:lineRule="auto"/>
        <w:rPr>
          <w:rFonts w:ascii="宋体" w:hAnsi="宋体" w:cs="宋体"/>
          <w:b/>
          <w:sz w:val="20"/>
        </w:rPr>
      </w:pPr>
      <w:r>
        <w:rPr>
          <w:rFonts w:hint="eastAsia" w:ascii="宋体" w:hAnsi="宋体" w:cs="宋体"/>
          <w:b/>
          <w:sz w:val="20"/>
        </w:rPr>
        <w:t>十、违约责任</w:t>
      </w:r>
    </w:p>
    <w:p>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ascii="宋体" w:hAnsi="宋体" w:cs="宋体"/>
          <w:sz w:val="20"/>
        </w:rPr>
      </w:pPr>
      <w:r>
        <w:rPr>
          <w:rFonts w:hint="eastAsia" w:ascii="宋体" w:hAnsi="宋体" w:cs="宋体"/>
          <w:sz w:val="20"/>
          <w:lang w:val="en-US" w:eastAsia="zh-CN"/>
        </w:rPr>
        <w:t>3</w:t>
      </w:r>
      <w:r>
        <w:rPr>
          <w:rFonts w:hint="eastAsia" w:ascii="宋体" w:hAnsi="宋体" w:cs="宋体"/>
          <w:sz w:val="20"/>
        </w:rPr>
        <w:t>、如果乙方违反本合同其他约定（包括本合同及所有附件），应赔偿因此给甲方造成的一切损失。</w:t>
      </w:r>
    </w:p>
    <w:p>
      <w:pPr>
        <w:spacing w:line="360" w:lineRule="auto"/>
        <w:rPr>
          <w:rFonts w:ascii="宋体" w:hAnsi="宋体" w:cs="宋体"/>
          <w:b/>
          <w:sz w:val="20"/>
        </w:rPr>
      </w:pPr>
      <w:r>
        <w:rPr>
          <w:rFonts w:hint="eastAsia" w:ascii="宋体" w:hAnsi="宋体" w:cs="宋体"/>
          <w:b/>
          <w:sz w:val="20"/>
        </w:rPr>
        <w:t>十一、纠纷的处理</w:t>
      </w:r>
    </w:p>
    <w:p>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pPr>
        <w:spacing w:line="360" w:lineRule="auto"/>
        <w:rPr>
          <w:rFonts w:ascii="宋体" w:hAnsi="宋体" w:cs="宋体"/>
          <w:b/>
          <w:sz w:val="20"/>
        </w:rPr>
      </w:pPr>
      <w:r>
        <w:rPr>
          <w:rFonts w:hint="eastAsia" w:ascii="宋体" w:hAnsi="宋体" w:cs="宋体"/>
          <w:b/>
          <w:sz w:val="20"/>
        </w:rPr>
        <w:t>十二、附件</w:t>
      </w:r>
    </w:p>
    <w:p>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hint="eastAsia" w:ascii="宋体" w:hAnsi="宋体" w:eastAsia="宋体" w:cs="宋体"/>
          <w:sz w:val="20"/>
          <w:szCs w:val="22"/>
        </w:rPr>
      </w:pPr>
      <w:r>
        <w:rPr>
          <w:rFonts w:hint="eastAsia" w:ascii="宋体" w:hAnsi="宋体" w:eastAsia="宋体" w:cs="宋体"/>
          <w:sz w:val="20"/>
          <w:szCs w:val="22"/>
          <w:lang w:val="en-US" w:eastAsia="zh-CN"/>
        </w:rPr>
        <w:t>3、</w:t>
      </w:r>
      <w:r>
        <w:rPr>
          <w:rFonts w:hint="eastAsia" w:ascii="宋体" w:hAnsi="宋体" w:eastAsia="宋体" w:cs="宋体"/>
          <w:sz w:val="20"/>
          <w:szCs w:val="22"/>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spacing w:line="360" w:lineRule="auto"/>
        <w:ind w:firstLine="400" w:firstLineChars="200"/>
        <w:rPr>
          <w:rFonts w:hint="eastAsia" w:ascii="宋体" w:hAnsi="宋体" w:eastAsia="宋体" w:cs="宋体"/>
          <w:sz w:val="20"/>
          <w:szCs w:val="22"/>
          <w:lang w:val="en-US" w:eastAsia="zh-CN"/>
        </w:rPr>
      </w:pPr>
      <w:r>
        <w:rPr>
          <w:rFonts w:hint="eastAsia" w:ascii="宋体" w:hAnsi="宋体" w:eastAsia="宋体" w:cs="宋体"/>
          <w:sz w:val="20"/>
          <w:szCs w:val="22"/>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00" w:firstLineChars="200"/>
        <w:rPr>
          <w:rFonts w:ascii="宋体" w:hAnsi="宋体" w:cs="宋体"/>
          <w:sz w:val="20"/>
        </w:rPr>
      </w:pPr>
      <w:r>
        <w:rPr>
          <w:rFonts w:hint="eastAsia" w:ascii="宋体" w:hAnsi="宋体" w:eastAsia="宋体" w:cs="宋体"/>
          <w:sz w:val="20"/>
          <w:szCs w:val="22"/>
          <w:lang w:val="en-US" w:eastAsia="zh-CN"/>
        </w:rPr>
        <w:t>4</w:t>
      </w:r>
      <w:r>
        <w:rPr>
          <w:rFonts w:hint="eastAsia" w:ascii="宋体" w:hAnsi="宋体" w:eastAsia="宋体" w:cs="宋体"/>
          <w:sz w:val="20"/>
          <w:szCs w:val="22"/>
        </w:rPr>
        <w:t>、本合同自双方签署之日起生效。本合同一式四份，甲方三份，乙方一份。</w:t>
      </w:r>
    </w:p>
    <w:p>
      <w:pPr>
        <w:spacing w:line="360" w:lineRule="auto"/>
        <w:ind w:firstLine="400" w:firstLineChars="200"/>
        <w:rPr>
          <w:rFonts w:ascii="宋体" w:hAnsi="宋体" w:cs="宋体"/>
          <w:sz w:val="20"/>
        </w:rPr>
      </w:pPr>
    </w:p>
    <w:p>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pPr>
        <w:pStyle w:val="5"/>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一、投标报价表（可由</w:t>
      </w:r>
      <w:r>
        <w:rPr>
          <w:rFonts w:hint="eastAsia" w:ascii="宋体" w:hAnsi="宋体" w:cs="宋体"/>
          <w:sz w:val="24"/>
          <w:szCs w:val="24"/>
          <w:lang w:val="en-US" w:eastAsia="zh-CN"/>
        </w:rPr>
        <w:t>投标人自行编制</w:t>
      </w:r>
      <w:r>
        <w:rPr>
          <w:rFonts w:hint="eastAsia" w:ascii="宋体" w:hAnsi="宋体" w:cs="宋体"/>
          <w:sz w:val="24"/>
          <w:szCs w:val="24"/>
          <w:lang w:eastAsia="zh-CN"/>
        </w:rPr>
        <w:t>）</w:t>
      </w:r>
    </w:p>
    <w:p>
      <w:pPr>
        <w:pStyle w:val="8"/>
        <w:spacing w:after="0" w:line="320" w:lineRule="exact"/>
        <w:jc w:val="center"/>
        <w:rPr>
          <w:rFonts w:ascii="宋体" w:hAnsi="宋体"/>
          <w:b/>
          <w:bCs/>
          <w:sz w:val="32"/>
          <w:szCs w:val="32"/>
        </w:rPr>
      </w:pPr>
      <w:r>
        <w:rPr>
          <w:rFonts w:hint="eastAsia" w:ascii="宋体" w:hAnsi="宋体" w:cs="宋体"/>
          <w:b/>
          <w:bCs/>
          <w:sz w:val="32"/>
          <w:szCs w:val="32"/>
          <w:lang w:val="en-US" w:eastAsia="zh-CN"/>
        </w:rPr>
        <w:t>投标报价</w:t>
      </w:r>
      <w:r>
        <w:rPr>
          <w:rFonts w:hint="eastAsia" w:ascii="宋体" w:hAnsi="宋体" w:cs="宋体"/>
          <w:b/>
          <w:bCs/>
          <w:sz w:val="32"/>
          <w:szCs w:val="32"/>
        </w:rPr>
        <w:t>表</w:t>
      </w:r>
    </w:p>
    <w:p>
      <w:pPr>
        <w:pStyle w:val="9"/>
        <w:spacing w:line="360" w:lineRule="exact"/>
        <w:ind w:left="0" w:leftChars="0" w:firstLine="0" w:firstLineChars="0"/>
        <w:rPr>
          <w:rFonts w:hint="eastAsia" w:ascii="宋体" w:hAnsi="宋体" w:eastAsia="宋体"/>
          <w:lang w:eastAsia="zh-CN"/>
        </w:rPr>
      </w:pPr>
      <w:r>
        <w:rPr>
          <w:rFonts w:hint="eastAsia" w:ascii="宋体" w:hAnsi="宋体" w:cs="宋体"/>
          <w:sz w:val="24"/>
          <w:szCs w:val="24"/>
        </w:rPr>
        <w:t>项目</w:t>
      </w:r>
      <w:r>
        <w:rPr>
          <w:rFonts w:hint="eastAsia" w:ascii="宋体" w:hAnsi="宋体" w:eastAsia="宋体" w:cs="宋体"/>
          <w:sz w:val="24"/>
          <w:szCs w:val="24"/>
        </w:rPr>
        <w:t>名称：</w:t>
      </w:r>
      <w:r>
        <w:rPr>
          <w:rFonts w:hint="eastAsia" w:ascii="宋体" w:hAnsi="宋体" w:cs="宋体"/>
          <w:sz w:val="24"/>
          <w:szCs w:val="24"/>
          <w:lang w:eastAsia="zh-CN"/>
        </w:rPr>
        <w:t>改造涂装线三维升降平台项目</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000000"/>
                <w:sz w:val="24"/>
              </w:rPr>
            </w:pPr>
            <w:r>
              <w:rPr>
                <w:rFonts w:hint="eastAsia" w:ascii="宋体" w:hAnsi="宋体"/>
                <w:b/>
                <w:bCs/>
                <w:color w:val="000000"/>
                <w:sz w:val="24"/>
              </w:rPr>
              <w:t>投标人名称</w:t>
            </w:r>
          </w:p>
        </w:tc>
        <w:tc>
          <w:tcPr>
            <w:tcW w:w="684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b/>
                <w:bCs/>
                <w:color w:val="000000"/>
                <w:sz w:val="24"/>
              </w:rPr>
            </w:pPr>
            <w:r>
              <w:rPr>
                <w:rFonts w:hint="eastAsia" w:ascii="宋体" w:hAnsi="宋体"/>
                <w:b/>
                <w:bCs/>
                <w:color w:val="000000"/>
                <w:sz w:val="24"/>
              </w:rPr>
              <w:t>投标总报价</w:t>
            </w:r>
          </w:p>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color w:val="000000"/>
              </w:rPr>
            </w:pPr>
          </w:p>
        </w:tc>
        <w:tc>
          <w:tcPr>
            <w:tcW w:w="684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r>
              <w:rPr>
                <w:rFonts w:hint="eastAsia" w:ascii="宋体" w:hAnsi="宋体"/>
                <w:bCs/>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684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r>
              <w:rPr>
                <w:rFonts w:hint="eastAsia" w:ascii="宋体" w:hAnsi="宋体"/>
                <w:bCs/>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b/>
                <w:bCs/>
                <w:color w:val="000000"/>
                <w:sz w:val="24"/>
              </w:rPr>
            </w:pPr>
            <w:r>
              <w:rPr>
                <w:rFonts w:hint="eastAsia" w:ascii="宋体" w:hAnsi="宋体"/>
                <w:b/>
                <w:bCs/>
                <w:color w:val="000000"/>
                <w:sz w:val="24"/>
              </w:rPr>
              <w:t>供货期</w:t>
            </w:r>
          </w:p>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color w:val="000000"/>
                <w:sz w:val="24"/>
              </w:rPr>
            </w:pPr>
            <w:r>
              <w:rPr>
                <w:rFonts w:hint="eastAsia" w:ascii="宋体" w:hAnsi="宋体"/>
                <w:color w:val="000000"/>
                <w:sz w:val="24"/>
              </w:rPr>
              <w:t>（日历天）</w:t>
            </w:r>
          </w:p>
        </w:tc>
        <w:tc>
          <w:tcPr>
            <w:tcW w:w="684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color w:val="000000"/>
                <w:sz w:val="24"/>
                <w:u w:val="single"/>
              </w:rPr>
            </w:pPr>
            <w:r>
              <w:rPr>
                <w:rFonts w:hint="eastAsia" w:ascii="宋体" w:hAnsi="宋体"/>
                <w:color w:val="000000"/>
                <w:sz w:val="24"/>
              </w:rPr>
              <w:t>自接到中标通知之日起</w:t>
            </w:r>
            <w:r>
              <w:rPr>
                <w:rFonts w:hint="eastAsia" w:ascii="宋体" w:hAnsi="宋体"/>
                <w:color w:val="000000"/>
                <w:sz w:val="24"/>
                <w:u w:val="single"/>
              </w:rPr>
              <w:t xml:space="preserve">    </w:t>
            </w:r>
            <w:r>
              <w:rPr>
                <w:rFonts w:hint="eastAsia" w:ascii="宋体" w:hAnsi="宋体"/>
                <w:color w:val="000000"/>
                <w:sz w:val="24"/>
              </w:rPr>
              <w:t>天内</w:t>
            </w:r>
            <w:r>
              <w:rPr>
                <w:rFonts w:hint="eastAsia" w:ascii="宋体" w:hAnsi="宋体"/>
                <w:color w:val="000000"/>
                <w:sz w:val="24"/>
                <w:lang w:val="en-US" w:eastAsia="zh-CN"/>
              </w:rPr>
              <w:t>出具图纸及明细</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天内安装调试完成，共</w:t>
            </w:r>
            <w:r>
              <w:rPr>
                <w:rFonts w:hint="eastAsia" w:ascii="宋体" w:hAnsi="宋体"/>
                <w:color w:val="000000"/>
                <w:sz w:val="24"/>
                <w:u w:val="single"/>
              </w:rPr>
              <w:t xml:space="preserve">   </w:t>
            </w:r>
            <w:r>
              <w:rPr>
                <w:rFonts w:hint="eastAsia" w:ascii="宋体" w:hAnsi="宋体"/>
                <w:color w:val="000000"/>
                <w:sz w:val="24"/>
              </w:rPr>
              <w:t>天（投标人自报最短供货期）。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000000"/>
                <w:sz w:val="24"/>
              </w:rPr>
            </w:pPr>
            <w:r>
              <w:rPr>
                <w:rFonts w:hint="eastAsia" w:ascii="宋体" w:hAnsi="宋体"/>
                <w:b/>
                <w:bCs/>
                <w:color w:val="000000"/>
                <w:sz w:val="24"/>
              </w:rPr>
              <w:t>质保期</w:t>
            </w:r>
          </w:p>
        </w:tc>
        <w:tc>
          <w:tcPr>
            <w:tcW w:w="684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hint="eastAsia" w:ascii="宋体" w:hAnsi="宋体"/>
                <w:bCs/>
                <w:color w:val="000000"/>
                <w:sz w:val="24"/>
              </w:rPr>
            </w:pPr>
            <w:r>
              <w:rPr>
                <w:rFonts w:hint="eastAsia" w:ascii="宋体" w:hAnsi="宋体"/>
                <w:bCs/>
                <w:color w:val="000000"/>
                <w:sz w:val="24"/>
              </w:rPr>
              <w:t>自最终验收报告签署之日（以签署日期最晚者为准）</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color w:val="000000"/>
                <w:sz w:val="24"/>
              </w:rPr>
            </w:pPr>
            <w:r>
              <w:rPr>
                <w:rFonts w:hint="eastAsia" w:ascii="宋体" w:hAnsi="宋体"/>
                <w:bCs/>
                <w:color w:val="000000"/>
                <w:sz w:val="24"/>
              </w:rPr>
              <w:t>起</w:t>
            </w:r>
            <w:r>
              <w:rPr>
                <w:rFonts w:hint="eastAsia" w:ascii="宋体" w:hAnsi="宋体"/>
                <w:bCs/>
                <w:color w:val="000000"/>
                <w:sz w:val="24"/>
                <w:u w:val="single"/>
              </w:rPr>
              <w:t xml:space="preserve">    </w:t>
            </w:r>
            <w:r>
              <w:rPr>
                <w:rFonts w:hint="eastAsia" w:ascii="宋体" w:hAnsi="宋体"/>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sz w:val="24"/>
              </w:rPr>
            </w:pPr>
            <w:r>
              <w:rPr>
                <w:rFonts w:hint="eastAsia"/>
                <w:b/>
                <w:sz w:val="24"/>
              </w:rPr>
              <w:t>付款方式有无偏离</w:t>
            </w:r>
          </w:p>
        </w:tc>
        <w:tc>
          <w:tcPr>
            <w:tcW w:w="684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ascii="宋体" w:hAnsi="宋体"/>
                <w:sz w:val="24"/>
              </w:rPr>
              <w:t>（是否完全响应）</w:t>
            </w:r>
          </w:p>
        </w:tc>
        <w:tc>
          <w:tcPr>
            <w:tcW w:w="6841"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rPr>
          <w:rFonts w:hint="eastAsia" w:ascii="宋体" w:hAnsi="宋体"/>
          <w:b/>
          <w:bCs/>
        </w:rPr>
      </w:pPr>
      <w:r>
        <w:rPr>
          <w:rFonts w:hint="eastAsia" w:ascii="宋体" w:hAnsi="宋体"/>
          <w:b/>
          <w:bCs/>
        </w:rPr>
        <w:t>注： 1、此表中的报价必须与相应的报价明细表中的报价一致。</w:t>
      </w:r>
    </w:p>
    <w:p>
      <w:pPr>
        <w:ind w:firstLine="588" w:firstLineChars="279"/>
        <w:rPr>
          <w:rFonts w:hint="eastAsia" w:ascii="宋体" w:hAnsi="宋体"/>
          <w:b/>
          <w:bCs/>
        </w:rPr>
      </w:pPr>
      <w:r>
        <w:rPr>
          <w:rFonts w:hint="eastAsia" w:ascii="宋体" w:hAnsi="宋体"/>
          <w:b/>
          <w:bCs/>
        </w:rPr>
        <w:t>2、本表除附在投标文件中外，还应单独密封一份，以便唱标。</w:t>
      </w:r>
    </w:p>
    <w:p>
      <w:pPr>
        <w:pStyle w:val="2"/>
        <w:rPr>
          <w:rFonts w:hint="eastAsia" w:ascii="宋体" w:hAnsi="宋体" w:cs="宋体"/>
          <w:sz w:val="24"/>
          <w:szCs w:val="24"/>
          <w:lang w:eastAsia="zh-CN"/>
        </w:rPr>
      </w:pPr>
    </w:p>
    <w:bookmarkEnd w:id="2"/>
    <w:p>
      <w:pPr>
        <w:jc w:val="left"/>
        <w:rPr>
          <w:rFonts w:hint="eastAsia" w:ascii="宋体" w:hAnsi="Times New Roman" w:eastAsia="宋体" w:cs="Times New Roman"/>
          <w:kern w:val="2"/>
          <w:sz w:val="24"/>
          <w:szCs w:val="28"/>
          <w:lang w:val="en-US" w:eastAsia="zh-CN" w:bidi="ar-SA"/>
        </w:rPr>
      </w:pPr>
    </w:p>
    <w:p>
      <w:pPr>
        <w:pStyle w:val="2"/>
        <w:rPr>
          <w:rFonts w:hint="eastAsia" w:ascii="宋体" w:hAnsi="Times New Roman" w:eastAsia="宋体" w:cs="Times New Roman"/>
          <w:kern w:val="2"/>
          <w:sz w:val="24"/>
          <w:szCs w:val="28"/>
          <w:lang w:val="en-US" w:eastAsia="zh-CN" w:bidi="ar-SA"/>
        </w:rPr>
      </w:pPr>
    </w:p>
    <w:p>
      <w:pPr>
        <w:pStyle w:val="2"/>
        <w:rPr>
          <w:rFonts w:hint="eastAsia" w:ascii="宋体" w:hAnsi="Times New Roman" w:eastAsia="宋体" w:cs="Times New Roman"/>
          <w:kern w:val="2"/>
          <w:sz w:val="24"/>
          <w:szCs w:val="28"/>
          <w:lang w:val="en-US" w:eastAsia="zh-CN" w:bidi="ar-SA"/>
        </w:rPr>
      </w:pPr>
    </w:p>
    <w:p>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附件二 、其他文件</w:t>
      </w:r>
    </w:p>
    <w:p>
      <w:pPr>
        <w:pStyle w:val="2"/>
        <w:rPr>
          <w:rFonts w:hint="eastAsia" w:ascii="宋体" w:hAnsi="宋体" w:eastAsia="宋体" w:cs="宋体"/>
          <w:b/>
          <w:bCs/>
          <w:color w:val="auto"/>
          <w:kern w:val="2"/>
          <w:sz w:val="24"/>
          <w:szCs w:val="24"/>
          <w:lang w:val="en-US" w:eastAsia="zh-CN" w:bidi="ar-SA"/>
        </w:rPr>
      </w:pPr>
    </w:p>
    <w:p>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pPr>
        <w:pStyle w:val="10"/>
        <w:spacing w:line="360" w:lineRule="auto"/>
        <w:ind w:firstLine="422" w:firstLineChars="200"/>
        <w:rPr>
          <w:rFonts w:hint="eastAsia"/>
          <w:b/>
          <w:color w:val="auto"/>
          <w:lang w:val="en-US" w:eastAsia="zh-CN"/>
        </w:rPr>
      </w:pPr>
    </w:p>
    <w:p>
      <w:pPr>
        <w:pStyle w:val="10"/>
        <w:spacing w:line="360" w:lineRule="auto"/>
        <w:ind w:firstLine="422" w:firstLineChars="200"/>
        <w:rPr>
          <w:rFonts w:hint="eastAsia"/>
          <w:b/>
          <w:color w:val="auto"/>
          <w:lang w:val="en-US" w:eastAsia="zh-CN"/>
        </w:rPr>
      </w:pPr>
    </w:p>
    <w:p>
      <w:pPr>
        <w:pStyle w:val="10"/>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sectPr>
      <w:headerReference r:id="rId4" w:type="first"/>
      <w:footerReference r:id="rId6" w:type="first"/>
      <w:headerReference r:id="rId3" w:type="default"/>
      <w:footerReference r:id="rId5"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106A2B88"/>
    <w:multiLevelType w:val="singleLevel"/>
    <w:tmpl w:val="106A2B88"/>
    <w:lvl w:ilvl="0" w:tentative="0">
      <w:start w:val="1"/>
      <w:numFmt w:val="chineseCounting"/>
      <w:suff w:val="nothing"/>
      <w:lvlText w:val="%1、"/>
      <w:lvlJc w:val="left"/>
      <w:rPr>
        <w:rFonts w:hint="eastAsia"/>
      </w:rPr>
    </w:lvl>
  </w:abstractNum>
  <w:abstractNum w:abstractNumId="3">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4">
    <w:nsid w:val="34C5A9E3"/>
    <w:multiLevelType w:val="singleLevel"/>
    <w:tmpl w:val="34C5A9E3"/>
    <w:lvl w:ilvl="0" w:tentative="0">
      <w:start w:val="1"/>
      <w:numFmt w:val="decimal"/>
      <w:suff w:val="nothing"/>
      <w:lvlText w:val="%1、"/>
      <w:lvlJc w:val="left"/>
    </w:lvl>
  </w:abstractNum>
  <w:abstractNum w:abstractNumId="5">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88603B"/>
    <w:rsid w:val="02A56416"/>
    <w:rsid w:val="03CD1F61"/>
    <w:rsid w:val="0A1D552E"/>
    <w:rsid w:val="0A5726C1"/>
    <w:rsid w:val="0B0F75B1"/>
    <w:rsid w:val="0B1D7922"/>
    <w:rsid w:val="0B276E9C"/>
    <w:rsid w:val="0B6810EB"/>
    <w:rsid w:val="0C092B33"/>
    <w:rsid w:val="0C504132"/>
    <w:rsid w:val="0C7E6D9B"/>
    <w:rsid w:val="0CB5092B"/>
    <w:rsid w:val="0DAF0B93"/>
    <w:rsid w:val="0E476CCE"/>
    <w:rsid w:val="0FBA2A1F"/>
    <w:rsid w:val="109B7BB5"/>
    <w:rsid w:val="111F6909"/>
    <w:rsid w:val="12E94D5A"/>
    <w:rsid w:val="1309795C"/>
    <w:rsid w:val="130A0DBB"/>
    <w:rsid w:val="140D3CA4"/>
    <w:rsid w:val="14847F58"/>
    <w:rsid w:val="1549721B"/>
    <w:rsid w:val="1583594B"/>
    <w:rsid w:val="170B2CAC"/>
    <w:rsid w:val="17964416"/>
    <w:rsid w:val="17BD56E0"/>
    <w:rsid w:val="18EA08C7"/>
    <w:rsid w:val="19EB0CFA"/>
    <w:rsid w:val="1A850459"/>
    <w:rsid w:val="1B705779"/>
    <w:rsid w:val="1BFB0019"/>
    <w:rsid w:val="1CF00880"/>
    <w:rsid w:val="1F137DC6"/>
    <w:rsid w:val="21385A19"/>
    <w:rsid w:val="215F4227"/>
    <w:rsid w:val="218538C2"/>
    <w:rsid w:val="21EC706F"/>
    <w:rsid w:val="220D6453"/>
    <w:rsid w:val="222E220C"/>
    <w:rsid w:val="225515AE"/>
    <w:rsid w:val="22AC71F8"/>
    <w:rsid w:val="237C60C5"/>
    <w:rsid w:val="23DF076E"/>
    <w:rsid w:val="24B05ACD"/>
    <w:rsid w:val="25F20E90"/>
    <w:rsid w:val="262F32F6"/>
    <w:rsid w:val="265C6807"/>
    <w:rsid w:val="274763A4"/>
    <w:rsid w:val="27703E52"/>
    <w:rsid w:val="27F34BCD"/>
    <w:rsid w:val="283A3C48"/>
    <w:rsid w:val="2A81520E"/>
    <w:rsid w:val="2C010B73"/>
    <w:rsid w:val="2C9F5E1F"/>
    <w:rsid w:val="2E2469BB"/>
    <w:rsid w:val="2E827F4E"/>
    <w:rsid w:val="2EE054F5"/>
    <w:rsid w:val="2FCA7900"/>
    <w:rsid w:val="2FE13F1A"/>
    <w:rsid w:val="3059466F"/>
    <w:rsid w:val="30EE0B3B"/>
    <w:rsid w:val="31957228"/>
    <w:rsid w:val="31D16163"/>
    <w:rsid w:val="3200110E"/>
    <w:rsid w:val="32985FCF"/>
    <w:rsid w:val="32A10788"/>
    <w:rsid w:val="335A1F1F"/>
    <w:rsid w:val="33AE68EB"/>
    <w:rsid w:val="348C4BB4"/>
    <w:rsid w:val="35C5029F"/>
    <w:rsid w:val="36D018E0"/>
    <w:rsid w:val="36DF3D95"/>
    <w:rsid w:val="37804E88"/>
    <w:rsid w:val="388F4F9A"/>
    <w:rsid w:val="38E43142"/>
    <w:rsid w:val="393A190C"/>
    <w:rsid w:val="39425C56"/>
    <w:rsid w:val="39756146"/>
    <w:rsid w:val="3B1047D6"/>
    <w:rsid w:val="3B9308FD"/>
    <w:rsid w:val="3CAC7709"/>
    <w:rsid w:val="3CDF2A7F"/>
    <w:rsid w:val="3D1C0BDC"/>
    <w:rsid w:val="3D970065"/>
    <w:rsid w:val="3DC90A31"/>
    <w:rsid w:val="3EAD6D05"/>
    <w:rsid w:val="3ED77D2A"/>
    <w:rsid w:val="3F5E4797"/>
    <w:rsid w:val="3FAD7704"/>
    <w:rsid w:val="40371524"/>
    <w:rsid w:val="425F1CED"/>
    <w:rsid w:val="43C7446D"/>
    <w:rsid w:val="444A5520"/>
    <w:rsid w:val="48296DEC"/>
    <w:rsid w:val="48A510DA"/>
    <w:rsid w:val="48D332A6"/>
    <w:rsid w:val="48F51190"/>
    <w:rsid w:val="4A80122A"/>
    <w:rsid w:val="4AE72B13"/>
    <w:rsid w:val="4B0E61F2"/>
    <w:rsid w:val="4E5A094C"/>
    <w:rsid w:val="4E5F1890"/>
    <w:rsid w:val="524B4F06"/>
    <w:rsid w:val="53047386"/>
    <w:rsid w:val="53546374"/>
    <w:rsid w:val="54900D9E"/>
    <w:rsid w:val="54A333CF"/>
    <w:rsid w:val="54B04758"/>
    <w:rsid w:val="555D2250"/>
    <w:rsid w:val="55766291"/>
    <w:rsid w:val="59BB18F2"/>
    <w:rsid w:val="5A255F5D"/>
    <w:rsid w:val="5A4A4BAF"/>
    <w:rsid w:val="5B221005"/>
    <w:rsid w:val="5B7C4EE5"/>
    <w:rsid w:val="5BD73795"/>
    <w:rsid w:val="5C2C297C"/>
    <w:rsid w:val="5DCA053C"/>
    <w:rsid w:val="5DD45FE3"/>
    <w:rsid w:val="5E755D98"/>
    <w:rsid w:val="5F0624D6"/>
    <w:rsid w:val="5FAA1A57"/>
    <w:rsid w:val="60530FD9"/>
    <w:rsid w:val="606766A0"/>
    <w:rsid w:val="6092195C"/>
    <w:rsid w:val="60C24B45"/>
    <w:rsid w:val="635E7FFD"/>
    <w:rsid w:val="63AA7F98"/>
    <w:rsid w:val="63FC3EEE"/>
    <w:rsid w:val="64233D3B"/>
    <w:rsid w:val="64872D78"/>
    <w:rsid w:val="64A36C4B"/>
    <w:rsid w:val="65010418"/>
    <w:rsid w:val="65750BD1"/>
    <w:rsid w:val="66A064A6"/>
    <w:rsid w:val="67146970"/>
    <w:rsid w:val="67C577E1"/>
    <w:rsid w:val="68D6572A"/>
    <w:rsid w:val="690E7518"/>
    <w:rsid w:val="6971147A"/>
    <w:rsid w:val="699C5C7A"/>
    <w:rsid w:val="69F94D5D"/>
    <w:rsid w:val="6A75678E"/>
    <w:rsid w:val="6BCB2E36"/>
    <w:rsid w:val="6C4A1957"/>
    <w:rsid w:val="6D5722C8"/>
    <w:rsid w:val="6E782157"/>
    <w:rsid w:val="6F0D2A4D"/>
    <w:rsid w:val="6F3A7AA1"/>
    <w:rsid w:val="72D028D8"/>
    <w:rsid w:val="73186E17"/>
    <w:rsid w:val="736F1A7B"/>
    <w:rsid w:val="74255213"/>
    <w:rsid w:val="74FF281F"/>
    <w:rsid w:val="75395F3E"/>
    <w:rsid w:val="75471A14"/>
    <w:rsid w:val="7709593C"/>
    <w:rsid w:val="77BF5070"/>
    <w:rsid w:val="783C3AEF"/>
    <w:rsid w:val="78F41CD4"/>
    <w:rsid w:val="799C45BC"/>
    <w:rsid w:val="7A2A4EC4"/>
    <w:rsid w:val="7B3F33A4"/>
    <w:rsid w:val="7B9D1938"/>
    <w:rsid w:val="7C4411C4"/>
    <w:rsid w:val="7CFA5511"/>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5"/>
    <w:qFormat/>
    <w:uiPriority w:val="0"/>
    <w:pPr>
      <w:jc w:val="left"/>
    </w:p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8"/>
    <w:unhideWhenUsed/>
    <w:qFormat/>
    <w:uiPriority w:val="99"/>
    <w:pPr>
      <w:spacing w:after="120"/>
      <w:ind w:left="420" w:leftChars="200"/>
    </w:pPr>
    <w:rPr>
      <w:rFonts w:ascii="Calibri" w:hAnsi="Calibri"/>
      <w:szCs w:val="22"/>
    </w:rPr>
  </w:style>
  <w:style w:type="paragraph" w:styleId="10">
    <w:name w:val="Plain Text"/>
    <w:basedOn w:val="1"/>
    <w:link w:val="40"/>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7"/>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0"/>
    <w:rPr>
      <w:sz w:val="24"/>
    </w:rPr>
  </w:style>
  <w:style w:type="paragraph" w:styleId="18">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8"/>
    <w:qFormat/>
    <w:uiPriority w:val="0"/>
    <w:rPr>
      <w:rFonts w:ascii="仿宋_GB2312" w:eastAsia="仿宋_GB2312"/>
      <w:kern w:val="2"/>
      <w:sz w:val="32"/>
    </w:rPr>
  </w:style>
  <w:style w:type="character" w:customStyle="1" w:styleId="32">
    <w:name w:val="页脚 字符"/>
    <w:link w:val="13"/>
    <w:qFormat/>
    <w:uiPriority w:val="99"/>
    <w:rPr>
      <w:kern w:val="2"/>
      <w:sz w:val="18"/>
      <w:szCs w:val="18"/>
    </w:rPr>
  </w:style>
  <w:style w:type="character" w:customStyle="1" w:styleId="33">
    <w:name w:val="标题 3 字符"/>
    <w:link w:val="5"/>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7"/>
    <w:qFormat/>
    <w:uiPriority w:val="0"/>
    <w:rPr>
      <w:kern w:val="2"/>
      <w:sz w:val="21"/>
    </w:rPr>
  </w:style>
  <w:style w:type="character" w:customStyle="1" w:styleId="36">
    <w:name w:val="apple-converted-space"/>
    <w:basedOn w:val="22"/>
    <w:qFormat/>
    <w:uiPriority w:val="0"/>
  </w:style>
  <w:style w:type="character" w:customStyle="1" w:styleId="37">
    <w:name w:val="批注框文本 字符"/>
    <w:link w:val="12"/>
    <w:qFormat/>
    <w:uiPriority w:val="99"/>
    <w:rPr>
      <w:kern w:val="2"/>
      <w:sz w:val="18"/>
      <w:szCs w:val="18"/>
    </w:rPr>
  </w:style>
  <w:style w:type="character" w:customStyle="1" w:styleId="38">
    <w:name w:val="正文文本缩进 字符"/>
    <w:link w:val="9"/>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10"/>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4"/>
    <w:qFormat/>
    <w:uiPriority w:val="99"/>
    <w:rPr>
      <w:rFonts w:eastAsia="宋体"/>
      <w:kern w:val="2"/>
      <w:sz w:val="18"/>
      <w:szCs w:val="18"/>
      <w:lang w:val="en-US" w:eastAsia="zh-CN" w:bidi="ar-SA"/>
    </w:rPr>
  </w:style>
  <w:style w:type="character" w:customStyle="1" w:styleId="43">
    <w:name w:val="批注主题 字符"/>
    <w:link w:val="19"/>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2"/>
    <w:link w:val="3"/>
    <w:qFormat/>
    <w:uiPriority w:val="0"/>
    <w:rPr>
      <w:b/>
      <w:bCs/>
      <w:kern w:val="44"/>
      <w:sz w:val="44"/>
      <w:szCs w:val="44"/>
    </w:rPr>
  </w:style>
  <w:style w:type="paragraph" w:customStyle="1" w:styleId="5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2"/>
    <w:link w:val="18"/>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 w:type="paragraph" w:customStyle="1" w:styleId="62">
    <w:name w:val="Table Text"/>
    <w:basedOn w:val="1"/>
    <w:semiHidden/>
    <w:qFormat/>
    <w:uiPriority w:val="0"/>
    <w:rPr>
      <w:rFonts w:ascii="宋体" w:hAnsi="宋体" w:eastAsia="宋体" w:cs="宋体"/>
      <w:sz w:val="24"/>
      <w:szCs w:val="24"/>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7352</Words>
  <Characters>7514</Characters>
  <Lines>99</Lines>
  <Paragraphs>28</Paragraphs>
  <TotalTime>11</TotalTime>
  <ScaleCrop>false</ScaleCrop>
  <LinksUpToDate>false</LinksUpToDate>
  <CharactersWithSpaces>8325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Lenovo</cp:lastModifiedBy>
  <cp:lastPrinted>2020-02-06T09:56:00Z</cp:lastPrinted>
  <dcterms:modified xsi:type="dcterms:W3CDTF">2024-09-13T05:52:01Z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E67A7378AF054A04BEA1C92E54CC2730</vt:lpwstr>
  </property>
</Properties>
</file>