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1"/>
      <w:bookmarkStart w:id="1" w:name="OLE_LINK30"/>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lang w:eastAsia="zh-CN"/>
        </w:rPr>
        <w:t>车载网络测试系统项目</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2"/>
        <w:rPr>
          <w:rFonts w:hint="eastAsia"/>
          <w:lang w:eastAsia="zh-CN"/>
        </w:rPr>
      </w:pPr>
    </w:p>
    <w:p>
      <w:pPr>
        <w:pStyle w:val="2"/>
        <w:rPr>
          <w:rFonts w:hint="eastAsia"/>
          <w:lang w:eastAsia="zh-CN"/>
        </w:rPr>
      </w:pPr>
    </w:p>
    <w:p>
      <w:pPr>
        <w:pStyle w:val="2"/>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 xml:space="preserve">6 </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pgNumType w:fmt="decimal"/>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tabs>
              <w:tab w:val="left" w:pos="1325"/>
              <w:tab w:val="center" w:pos="4594"/>
            </w:tabs>
            <w:spacing w:line="480" w:lineRule="auto"/>
            <w:jc w:val="center"/>
            <w:rPr>
              <w:rFonts w:cs="宋体"/>
              <w:b/>
              <w:bCs/>
              <w:sz w:val="48"/>
              <w:szCs w:val="48"/>
            </w:rPr>
          </w:pPr>
          <w:r>
            <w:rPr>
              <w:rFonts w:ascii="宋体" w:hAnsi="宋体" w:eastAsia="宋体" w:cs="宋体"/>
              <w:b/>
              <w:bCs/>
              <w:sz w:val="48"/>
              <w:szCs w:val="48"/>
            </w:rPr>
            <w:t>目录</w:t>
          </w:r>
        </w:p>
        <w:p>
          <w:pPr>
            <w:pStyle w:val="25"/>
            <w:tabs>
              <w:tab w:val="right" w:leader="dot" w:pos="9071"/>
            </w:tabs>
          </w:pPr>
          <w:r>
            <w:rPr>
              <w:rFonts w:hint="eastAsia" w:ascii="Calibri" w:hAnsi="Calibri"/>
              <w:bCs/>
              <w:kern w:val="44"/>
              <w:sz w:val="28"/>
              <w:szCs w:val="28"/>
            </w:rPr>
            <w:fldChar w:fldCharType="begin"/>
          </w:r>
          <w:r>
            <w:rPr>
              <w:rFonts w:hint="eastAsia" w:ascii="Calibri" w:hAnsi="Calibri"/>
              <w:bCs/>
              <w:kern w:val="44"/>
              <w:sz w:val="28"/>
              <w:szCs w:val="28"/>
            </w:rPr>
            <w:instrText xml:space="preserve">TOC \o "1-1" \h \u </w:instrText>
          </w:r>
          <w:r>
            <w:rPr>
              <w:rFonts w:hint="eastAsia" w:ascii="Calibri" w:hAnsi="Calibri"/>
              <w:bCs/>
              <w:kern w:val="44"/>
              <w:sz w:val="28"/>
              <w:szCs w:val="28"/>
            </w:rPr>
            <w:fldChar w:fldCharType="separate"/>
          </w:r>
          <w:r>
            <w:rPr>
              <w:rFonts w:hint="eastAsia" w:ascii="Calibri" w:hAnsi="Calibri"/>
              <w:bCs/>
              <w:kern w:val="44"/>
              <w:szCs w:val="28"/>
            </w:rPr>
            <w:fldChar w:fldCharType="begin"/>
          </w:r>
          <w:r>
            <w:rPr>
              <w:rFonts w:hint="eastAsia" w:ascii="Calibri" w:hAnsi="Calibri"/>
              <w:bCs/>
              <w:kern w:val="44"/>
              <w:szCs w:val="28"/>
            </w:rPr>
            <w:instrText xml:space="preserve"> HYPERLINK \l _Toc25953 </w:instrText>
          </w:r>
          <w:r>
            <w:rPr>
              <w:rFonts w:hint="eastAsia" w:ascii="Calibri" w:hAnsi="Calibri"/>
              <w:bCs/>
              <w:kern w:val="44"/>
              <w:szCs w:val="28"/>
            </w:rPr>
            <w:fldChar w:fldCharType="separate"/>
          </w:r>
          <w:r>
            <w:rPr>
              <w:rFonts w:hint="eastAsia" w:ascii="Calibri" w:hAnsi="Calibri" w:eastAsia="宋体" w:cs="Times New Roman"/>
              <w:bCs/>
              <w:kern w:val="44"/>
              <w:szCs w:val="44"/>
            </w:rPr>
            <w:t>第一部分 投标须知前附表</w:t>
          </w:r>
          <w:r>
            <w:tab/>
          </w:r>
          <w:r>
            <w:fldChar w:fldCharType="begin"/>
          </w:r>
          <w:r>
            <w:instrText xml:space="preserve"> PAGEREF _Toc25953 \h </w:instrText>
          </w:r>
          <w:r>
            <w:fldChar w:fldCharType="separate"/>
          </w:r>
          <w:r>
            <w:t>3</w:t>
          </w:r>
          <w:r>
            <w:fldChar w:fldCharType="end"/>
          </w:r>
          <w:r>
            <w:rPr>
              <w:rFonts w:hint="eastAsia" w:ascii="Calibri" w:hAnsi="Calibri"/>
              <w:bCs/>
              <w:kern w:val="44"/>
              <w:szCs w:val="28"/>
            </w:rPr>
            <w:fldChar w:fldCharType="end"/>
          </w:r>
        </w:p>
        <w:p>
          <w:pPr>
            <w:pStyle w:val="25"/>
            <w:tabs>
              <w:tab w:val="right" w:leader="dot" w:pos="9071"/>
            </w:tabs>
          </w:pPr>
          <w:r>
            <w:rPr>
              <w:rFonts w:hint="eastAsia" w:ascii="Calibri" w:hAnsi="Calibri" w:eastAsia="宋体" w:cs="Times New Roman"/>
              <w:bCs/>
              <w:kern w:val="44"/>
              <w:szCs w:val="28"/>
            </w:rPr>
            <w:fldChar w:fldCharType="begin"/>
          </w:r>
          <w:r>
            <w:rPr>
              <w:rFonts w:hint="eastAsia" w:ascii="Calibri" w:hAnsi="Calibri" w:eastAsia="宋体" w:cs="Times New Roman"/>
              <w:bCs/>
              <w:kern w:val="44"/>
              <w:szCs w:val="28"/>
            </w:rPr>
            <w:instrText xml:space="preserve"> HYPERLINK \l _Toc2501 </w:instrText>
          </w:r>
          <w:r>
            <w:rPr>
              <w:rFonts w:hint="eastAsia" w:ascii="Calibri" w:hAnsi="Calibri" w:eastAsia="宋体" w:cs="Times New Roman"/>
              <w:bCs/>
              <w:kern w:val="44"/>
              <w:szCs w:val="28"/>
            </w:rPr>
            <w:fldChar w:fldCharType="separate"/>
          </w:r>
          <w:r>
            <w:rPr>
              <w:rFonts w:hint="eastAsia" w:ascii="Calibri" w:hAnsi="Calibri" w:eastAsia="宋体" w:cs="Times New Roman"/>
              <w:bCs/>
              <w:kern w:val="44"/>
              <w:szCs w:val="44"/>
            </w:rPr>
            <w:t>第</w:t>
          </w:r>
          <w:r>
            <w:rPr>
              <w:rFonts w:hint="eastAsia" w:ascii="Calibri" w:hAnsi="Calibri" w:eastAsia="宋体" w:cs="Times New Roman"/>
              <w:bCs/>
              <w:kern w:val="44"/>
              <w:szCs w:val="44"/>
              <w:lang w:val="en-US" w:eastAsia="zh-CN"/>
            </w:rPr>
            <w:t>二</w:t>
          </w:r>
          <w:r>
            <w:rPr>
              <w:rFonts w:hint="eastAsia" w:ascii="Calibri" w:hAnsi="Calibri" w:eastAsia="宋体" w:cs="Times New Roman"/>
              <w:bCs/>
              <w:kern w:val="44"/>
              <w:szCs w:val="44"/>
            </w:rPr>
            <w:t>部分 投标须知</w:t>
          </w:r>
          <w:r>
            <w:tab/>
          </w:r>
          <w:r>
            <w:fldChar w:fldCharType="begin"/>
          </w:r>
          <w:r>
            <w:instrText xml:space="preserve"> PAGEREF _Toc2501 \h </w:instrText>
          </w:r>
          <w:r>
            <w:fldChar w:fldCharType="separate"/>
          </w:r>
          <w:r>
            <w:t>7</w:t>
          </w:r>
          <w:r>
            <w:fldChar w:fldCharType="end"/>
          </w:r>
          <w:r>
            <w:rPr>
              <w:rFonts w:hint="eastAsia" w:ascii="Calibri" w:hAnsi="Calibri" w:eastAsia="宋体" w:cs="Times New Roman"/>
              <w:bCs/>
              <w:kern w:val="44"/>
              <w:szCs w:val="28"/>
            </w:rPr>
            <w:fldChar w:fldCharType="end"/>
          </w:r>
        </w:p>
        <w:p>
          <w:pPr>
            <w:pStyle w:val="25"/>
            <w:tabs>
              <w:tab w:val="right" w:leader="dot" w:pos="9071"/>
            </w:tabs>
          </w:pPr>
          <w:r>
            <w:rPr>
              <w:rFonts w:hint="eastAsia" w:ascii="Calibri" w:hAnsi="Calibri" w:eastAsia="宋体" w:cs="Times New Roman"/>
              <w:bCs/>
              <w:kern w:val="44"/>
              <w:szCs w:val="28"/>
            </w:rPr>
            <w:fldChar w:fldCharType="begin"/>
          </w:r>
          <w:r>
            <w:rPr>
              <w:rFonts w:hint="eastAsia" w:ascii="Calibri" w:hAnsi="Calibri" w:eastAsia="宋体" w:cs="Times New Roman"/>
              <w:bCs/>
              <w:kern w:val="44"/>
              <w:szCs w:val="28"/>
            </w:rPr>
            <w:instrText xml:space="preserve"> HYPERLINK \l _Toc15873 </w:instrText>
          </w:r>
          <w:r>
            <w:rPr>
              <w:rFonts w:hint="eastAsia" w:ascii="Calibri" w:hAnsi="Calibri" w:eastAsia="宋体" w:cs="Times New Roman"/>
              <w:bCs/>
              <w:kern w:val="44"/>
              <w:szCs w:val="28"/>
            </w:rPr>
            <w:fldChar w:fldCharType="separate"/>
          </w:r>
          <w:r>
            <w:rPr>
              <w:rFonts w:hint="eastAsia" w:ascii="Calibri" w:hAnsi="Calibri" w:eastAsia="宋体" w:cs="Times New Roman"/>
              <w:bCs/>
              <w:kern w:val="44"/>
              <w:szCs w:val="44"/>
              <w:lang w:val="en-US" w:eastAsia="zh-CN"/>
            </w:rPr>
            <w:t>第三部分</w:t>
          </w:r>
          <w:r>
            <w:rPr>
              <w:rFonts w:hint="eastAsia" w:ascii="Calibri" w:hAnsi="Calibri" w:eastAsia="宋体" w:cs="Times New Roman"/>
              <w:bCs/>
              <w:kern w:val="44"/>
              <w:szCs w:val="44"/>
            </w:rPr>
            <w:t xml:space="preserve"> 投标文件编制</w:t>
          </w:r>
          <w:r>
            <w:tab/>
          </w:r>
          <w:r>
            <w:fldChar w:fldCharType="begin"/>
          </w:r>
          <w:r>
            <w:instrText xml:space="preserve"> PAGEREF _Toc15873 \h </w:instrText>
          </w:r>
          <w:r>
            <w:fldChar w:fldCharType="separate"/>
          </w:r>
          <w:r>
            <w:t>13</w:t>
          </w:r>
          <w:r>
            <w:fldChar w:fldCharType="end"/>
          </w:r>
          <w:r>
            <w:rPr>
              <w:rFonts w:hint="eastAsia" w:ascii="Calibri" w:hAnsi="Calibri" w:eastAsia="宋体" w:cs="Times New Roman"/>
              <w:bCs/>
              <w:kern w:val="44"/>
              <w:szCs w:val="28"/>
            </w:rPr>
            <w:fldChar w:fldCharType="end"/>
          </w:r>
        </w:p>
        <w:p>
          <w:pPr>
            <w:pStyle w:val="25"/>
            <w:tabs>
              <w:tab w:val="right" w:leader="dot" w:pos="9071"/>
            </w:tabs>
          </w:pPr>
          <w:r>
            <w:rPr>
              <w:rFonts w:hint="eastAsia" w:ascii="Calibri" w:hAnsi="Calibri" w:eastAsia="宋体" w:cs="Times New Roman"/>
              <w:bCs/>
              <w:kern w:val="44"/>
              <w:szCs w:val="28"/>
            </w:rPr>
            <w:fldChar w:fldCharType="begin"/>
          </w:r>
          <w:r>
            <w:rPr>
              <w:rFonts w:hint="eastAsia" w:ascii="Calibri" w:hAnsi="Calibri" w:eastAsia="宋体" w:cs="Times New Roman"/>
              <w:bCs/>
              <w:kern w:val="44"/>
              <w:szCs w:val="28"/>
            </w:rPr>
            <w:instrText xml:space="preserve"> HYPERLINK \l _Toc20822 </w:instrText>
          </w:r>
          <w:r>
            <w:rPr>
              <w:rFonts w:hint="eastAsia" w:ascii="Calibri" w:hAnsi="Calibri" w:eastAsia="宋体" w:cs="Times New Roman"/>
              <w:bCs/>
              <w:kern w:val="44"/>
              <w:szCs w:val="28"/>
            </w:rPr>
            <w:fldChar w:fldCharType="separate"/>
          </w:r>
          <w:r>
            <w:rPr>
              <w:rFonts w:hint="eastAsia" w:ascii="Calibri" w:hAnsi="Calibri" w:eastAsia="宋体" w:cs="Times New Roman"/>
              <w:bCs/>
              <w:kern w:val="44"/>
              <w:szCs w:val="44"/>
            </w:rPr>
            <w:t>第四部分 技术标书</w:t>
          </w:r>
          <w:r>
            <w:tab/>
          </w:r>
          <w:r>
            <w:fldChar w:fldCharType="begin"/>
          </w:r>
          <w:r>
            <w:instrText xml:space="preserve"> PAGEREF _Toc20822 \h </w:instrText>
          </w:r>
          <w:r>
            <w:fldChar w:fldCharType="separate"/>
          </w:r>
          <w:r>
            <w:t>16</w:t>
          </w:r>
          <w:r>
            <w:fldChar w:fldCharType="end"/>
          </w:r>
          <w:r>
            <w:rPr>
              <w:rFonts w:hint="eastAsia" w:ascii="Calibri" w:hAnsi="Calibri" w:eastAsia="宋体" w:cs="Times New Roman"/>
              <w:bCs/>
              <w:kern w:val="44"/>
              <w:szCs w:val="28"/>
            </w:rPr>
            <w:fldChar w:fldCharType="end"/>
          </w:r>
        </w:p>
        <w:p>
          <w:pPr>
            <w:pStyle w:val="25"/>
            <w:tabs>
              <w:tab w:val="right" w:leader="dot" w:pos="9071"/>
            </w:tabs>
          </w:pPr>
          <w:r>
            <w:rPr>
              <w:rFonts w:hint="eastAsia" w:ascii="Calibri" w:hAnsi="Calibri" w:eastAsia="宋体" w:cs="Times New Roman"/>
              <w:bCs/>
              <w:kern w:val="44"/>
              <w:szCs w:val="28"/>
            </w:rPr>
            <w:fldChar w:fldCharType="begin"/>
          </w:r>
          <w:r>
            <w:rPr>
              <w:rFonts w:hint="eastAsia" w:ascii="Calibri" w:hAnsi="Calibri" w:eastAsia="宋体" w:cs="Times New Roman"/>
              <w:bCs/>
              <w:kern w:val="44"/>
              <w:szCs w:val="28"/>
            </w:rPr>
            <w:instrText xml:space="preserve"> HYPERLINK \l _Toc28486 </w:instrText>
          </w:r>
          <w:r>
            <w:rPr>
              <w:rFonts w:hint="eastAsia" w:ascii="Calibri" w:hAnsi="Calibri" w:eastAsia="宋体" w:cs="Times New Roman"/>
              <w:bCs/>
              <w:kern w:val="44"/>
              <w:szCs w:val="28"/>
            </w:rPr>
            <w:fldChar w:fldCharType="separate"/>
          </w:r>
          <w:r>
            <w:rPr>
              <w:rFonts w:hint="eastAsia" w:ascii="宋体" w:hAnsi="宋体" w:eastAsia="宋体" w:cs="Times New Roman"/>
              <w:szCs w:val="36"/>
            </w:rPr>
            <w:t>第</w:t>
          </w:r>
          <w:r>
            <w:rPr>
              <w:rFonts w:hint="eastAsia" w:ascii="宋体" w:hAnsi="宋体" w:eastAsia="宋体" w:cs="Times New Roman"/>
              <w:szCs w:val="36"/>
              <w:lang w:val="en-US" w:eastAsia="zh-CN"/>
            </w:rPr>
            <w:t>五</w:t>
          </w:r>
          <w:r>
            <w:rPr>
              <w:rFonts w:hint="eastAsia" w:ascii="宋体" w:hAnsi="宋体" w:eastAsia="宋体" w:cs="Times New Roman"/>
              <w:szCs w:val="36"/>
            </w:rPr>
            <w:t>部分</w:t>
          </w:r>
          <w:r>
            <w:rPr>
              <w:rFonts w:ascii="宋体" w:hAnsi="宋体" w:eastAsia="宋体" w:cs="Times New Roman"/>
              <w:szCs w:val="36"/>
            </w:rPr>
            <w:t xml:space="preserve"> </w:t>
          </w:r>
          <w:r>
            <w:rPr>
              <w:rFonts w:hint="eastAsia" w:ascii="宋体" w:hAnsi="宋体" w:eastAsia="宋体" w:cs="Times New Roman"/>
              <w:szCs w:val="36"/>
            </w:rPr>
            <w:t>设备采购合同</w:t>
          </w:r>
          <w:r>
            <w:tab/>
          </w:r>
          <w:r>
            <w:fldChar w:fldCharType="begin"/>
          </w:r>
          <w:r>
            <w:instrText xml:space="preserve"> PAGEREF _Toc28486 \h </w:instrText>
          </w:r>
          <w:r>
            <w:fldChar w:fldCharType="separate"/>
          </w:r>
          <w:r>
            <w:t>57</w:t>
          </w:r>
          <w:r>
            <w:fldChar w:fldCharType="end"/>
          </w:r>
          <w:r>
            <w:rPr>
              <w:rFonts w:hint="eastAsia" w:ascii="Calibri" w:hAnsi="Calibri" w:eastAsia="宋体" w:cs="Times New Roman"/>
              <w:bCs/>
              <w:kern w:val="44"/>
              <w:szCs w:val="28"/>
            </w:rPr>
            <w:fldChar w:fldCharType="end"/>
          </w:r>
        </w:p>
        <w:p>
          <w:pPr>
            <w:pStyle w:val="25"/>
            <w:tabs>
              <w:tab w:val="right" w:leader="dot" w:pos="9071"/>
            </w:tabs>
          </w:pPr>
          <w:r>
            <w:rPr>
              <w:rFonts w:hint="eastAsia" w:ascii="Calibri" w:hAnsi="Calibri" w:eastAsia="宋体" w:cs="Times New Roman"/>
              <w:bCs/>
              <w:kern w:val="44"/>
              <w:szCs w:val="28"/>
            </w:rPr>
            <w:fldChar w:fldCharType="begin"/>
          </w:r>
          <w:r>
            <w:rPr>
              <w:rFonts w:hint="eastAsia" w:ascii="Calibri" w:hAnsi="Calibri" w:eastAsia="宋体" w:cs="Times New Roman"/>
              <w:bCs/>
              <w:kern w:val="44"/>
              <w:szCs w:val="28"/>
            </w:rPr>
            <w:instrText xml:space="preserve"> HYPERLINK \l _Toc31200 </w:instrText>
          </w:r>
          <w:r>
            <w:rPr>
              <w:rFonts w:hint="eastAsia" w:ascii="Calibri" w:hAnsi="Calibri" w:eastAsia="宋体" w:cs="Times New Roman"/>
              <w:bCs/>
              <w:kern w:val="44"/>
              <w:szCs w:val="28"/>
            </w:rPr>
            <w:fldChar w:fldCharType="separate"/>
          </w:r>
          <w:r>
            <w:rPr>
              <w:rFonts w:hint="eastAsia" w:ascii="Calibri" w:hAnsi="Calibri" w:eastAsia="宋体" w:cs="Times New Roman"/>
              <w:bCs/>
              <w:kern w:val="44"/>
              <w:szCs w:val="44"/>
            </w:rPr>
            <w:t>第</w:t>
          </w:r>
          <w:r>
            <w:rPr>
              <w:rFonts w:hint="eastAsia" w:ascii="Calibri" w:hAnsi="Calibri" w:eastAsia="宋体" w:cs="Times New Roman"/>
              <w:bCs/>
              <w:kern w:val="44"/>
              <w:szCs w:val="44"/>
              <w:lang w:val="en-US" w:eastAsia="zh-CN"/>
            </w:rPr>
            <w:t>六</w:t>
          </w:r>
          <w:r>
            <w:rPr>
              <w:rFonts w:hint="eastAsia" w:ascii="Calibri" w:hAnsi="Calibri" w:eastAsia="宋体" w:cs="Times New Roman"/>
              <w:bCs/>
              <w:kern w:val="44"/>
              <w:szCs w:val="44"/>
            </w:rPr>
            <w:t>部分</w:t>
          </w:r>
          <w:r>
            <w:rPr>
              <w:rFonts w:ascii="Calibri" w:hAnsi="Calibri" w:eastAsia="宋体" w:cs="Times New Roman"/>
              <w:bCs/>
              <w:kern w:val="44"/>
              <w:szCs w:val="44"/>
            </w:rPr>
            <w:t xml:space="preserve"> </w:t>
          </w:r>
          <w:r>
            <w:rPr>
              <w:rFonts w:hint="eastAsia" w:ascii="Calibri" w:hAnsi="Calibri" w:eastAsia="宋体" w:cs="Times New Roman"/>
              <w:bCs/>
              <w:kern w:val="44"/>
              <w:szCs w:val="44"/>
            </w:rPr>
            <w:t>投标文件附件</w:t>
          </w:r>
          <w:r>
            <w:tab/>
          </w:r>
          <w:r>
            <w:fldChar w:fldCharType="begin"/>
          </w:r>
          <w:r>
            <w:instrText xml:space="preserve"> PAGEREF _Toc31200 \h </w:instrText>
          </w:r>
          <w:r>
            <w:fldChar w:fldCharType="separate"/>
          </w:r>
          <w:r>
            <w:t>70</w:t>
          </w:r>
          <w:r>
            <w:fldChar w:fldCharType="end"/>
          </w:r>
          <w:r>
            <w:rPr>
              <w:rFonts w:hint="eastAsia" w:ascii="Calibri" w:hAnsi="Calibri" w:eastAsia="宋体" w:cs="Times New Roman"/>
              <w:bCs/>
              <w:kern w:val="44"/>
              <w:szCs w:val="28"/>
            </w:rPr>
            <w:fldChar w:fldCharType="end"/>
          </w:r>
        </w:p>
        <w:p>
          <w:pPr>
            <w:pStyle w:val="2"/>
            <w:spacing w:line="480" w:lineRule="auto"/>
            <w:jc w:val="both"/>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pgNumType w:fmt="decimal"/>
              <w:cols w:space="720" w:num="1"/>
              <w:docGrid w:linePitch="290" w:charSpace="-3931"/>
            </w:sectPr>
          </w:pPr>
          <w:r>
            <w:rPr>
              <w:rFonts w:hint="eastAsia" w:ascii="Calibri" w:hAnsi="Calibri" w:eastAsia="宋体" w:cs="Times New Roman"/>
              <w:bCs/>
              <w:kern w:val="44"/>
              <w:szCs w:val="28"/>
            </w:rPr>
            <w:fldChar w:fldCharType="end"/>
          </w:r>
        </w:p>
      </w:sdtContent>
    </w:sdt>
    <w:p>
      <w:pPr>
        <w:pStyle w:val="2"/>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5953"/>
      <w:r>
        <w:rPr>
          <w:rFonts w:hint="eastAsia" w:ascii="Calibri" w:hAnsi="Calibri" w:eastAsia="宋体" w:cs="Times New Roman"/>
          <w:b/>
          <w:bCs/>
          <w:kern w:val="44"/>
          <w:sz w:val="36"/>
          <w:szCs w:val="44"/>
        </w:rPr>
        <w:t>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7"/>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eastAsia="zh-CN"/>
              </w:rPr>
              <w:t>车载网络测试系统项目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项目编号：</w:t>
            </w:r>
            <w:r>
              <w:rPr>
                <w:rFonts w:hint="eastAsia" w:ascii="宋体" w:hAnsi="宋体" w:eastAsia="宋体" w:cs="宋体"/>
                <w:sz w:val="24"/>
                <w:szCs w:val="24"/>
                <w:highlight w:val="none"/>
                <w:u w:val="single"/>
                <w:lang w:val="en-US" w:eastAsia="zh-CN"/>
              </w:rPr>
              <w:t>CGZX2023040251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eastAsia="zh-CN"/>
              </w:rPr>
              <w:t>车载网络测试系统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eastAsia="zh-CN"/>
              </w:rPr>
              <w:t>高新区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lang w:val="en-US" w:eastAsia="zh-CN"/>
              </w:rPr>
              <w:t>2019</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审计的</w:t>
            </w:r>
            <w:r>
              <w:rPr>
                <w:rFonts w:hint="eastAsia" w:ascii="宋体" w:hAnsi="宋体" w:eastAsia="宋体" w:cs="宋体"/>
                <w:color w:val="000000"/>
                <w:sz w:val="24"/>
                <w:szCs w:val="24"/>
                <w:highlight w:val="none"/>
              </w:rPr>
              <w:t>公司财务报表（资产负债表、损益表、现金流量表）未显示异常；</w:t>
            </w:r>
          </w:p>
          <w:p>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w:t>
            </w:r>
            <w:r>
              <w:rPr>
                <w:rFonts w:hint="eastAsia" w:ascii="宋体" w:hAnsi="宋体" w:eastAsia="宋体" w:cs="宋体"/>
                <w:color w:val="000000"/>
                <w:kern w:val="0"/>
                <w:sz w:val="24"/>
                <w:szCs w:val="24"/>
                <w:highlight w:val="yellow"/>
              </w:rPr>
              <w:t>（</w:t>
            </w:r>
            <w:r>
              <w:rPr>
                <w:rFonts w:hint="eastAsia" w:hAnsi="宋体" w:eastAsia="宋体" w:cs="宋体"/>
                <w:color w:val="000000"/>
                <w:kern w:val="0"/>
                <w:sz w:val="24"/>
                <w:szCs w:val="24"/>
                <w:highlight w:val="yellow"/>
                <w:lang w:val="en-US" w:eastAsia="zh-CN"/>
              </w:rPr>
              <w:t>车载网络测试系统</w:t>
            </w:r>
            <w:r>
              <w:rPr>
                <w:rFonts w:hint="eastAsia" w:ascii="宋体" w:hAnsi="宋体" w:eastAsia="宋体" w:cs="宋体"/>
                <w:color w:val="000000"/>
                <w:kern w:val="0"/>
                <w:sz w:val="24"/>
                <w:szCs w:val="24"/>
                <w:highlight w:val="yellow"/>
              </w:rPr>
              <w:t>）</w:t>
            </w:r>
            <w:r>
              <w:rPr>
                <w:rFonts w:hint="eastAsia" w:hAnsi="宋体" w:eastAsia="宋体" w:cs="宋体"/>
                <w:color w:val="000000"/>
                <w:sz w:val="24"/>
                <w:szCs w:val="24"/>
              </w:rPr>
              <w:t>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hAnsi="宋体" w:eastAsia="宋体" w:cs="宋体"/>
                <w:color w:val="auto"/>
                <w:sz w:val="24"/>
                <w:szCs w:val="24"/>
                <w:highlight w:val="none"/>
                <w:lang w:val="en-US" w:eastAsia="zh-CN"/>
              </w:rPr>
              <w:t>企业</w:t>
            </w:r>
            <w:r>
              <w:rPr>
                <w:rFonts w:hint="eastAsia" w:ascii="宋体" w:hAnsi="宋体" w:eastAsia="宋体" w:cs="宋体"/>
                <w:color w:val="000000"/>
                <w:sz w:val="24"/>
                <w:szCs w:val="24"/>
                <w:highlight w:val="none"/>
                <w:lang w:val="en-US" w:eastAsia="zh-CN"/>
              </w:rPr>
              <w:t>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14.本项目不接受联合体投标,拟投标人必须是最终投标单位和签订合同单位，不得以任何理由将已中标项目以任何形式分包或转包给其他单位。</w:t>
            </w:r>
          </w:p>
          <w:p>
            <w:pPr>
              <w:pStyle w:val="2"/>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w:t>
            </w:r>
            <w:r>
              <w:rPr>
                <w:rFonts w:ascii="宋体" w:hAnsi="宋体" w:eastAsia="宋体" w:cs="宋体"/>
                <w:sz w:val="24"/>
                <w:szCs w:val="24"/>
              </w:rPr>
              <w:t>与招标人存在利害关系可能影响招标公正性的法人、其他组织或者个人，不得参加投标。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 xml:space="preserve">30 </w:t>
            </w:r>
            <w:r>
              <w:rPr>
                <w:rFonts w:hint="eastAsia" w:ascii="宋体" w:hAnsi="宋体" w:eastAsia="宋体" w:cs="宋体"/>
                <w:bCs/>
                <w:sz w:val="24"/>
                <w:szCs w:val="24"/>
                <w:highlight w:val="yellow"/>
              </w:rPr>
              <w:t>日</w:t>
            </w:r>
            <w:r>
              <w:rPr>
                <w:rFonts w:hint="eastAsia" w:ascii="宋体" w:hAnsi="宋体" w:eastAsia="宋体" w:cs="宋体"/>
                <w:bCs/>
                <w:sz w:val="24"/>
                <w:szCs w:val="24"/>
                <w:highlight w:val="yellow"/>
                <w:lang w:val="en-US" w:eastAsia="zh-CN"/>
              </w:rPr>
              <w:t>12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ascii="宋体" w:hAnsi="宋体" w:eastAsia="宋体" w:cs="宋体"/>
                <w:bCs/>
                <w:sz w:val="24"/>
                <w:szCs w:val="24"/>
                <w:highlight w:val="yellow"/>
                <w:u w:val="single"/>
                <w:lang w:val="en-US" w:eastAsia="zh-CN"/>
              </w:rPr>
              <w:t xml:space="preserve"> 1 </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3"/>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7</w:t>
            </w:r>
            <w:r>
              <w:rPr>
                <w:rFonts w:hint="eastAsia" w:eastAsia="宋体" w:cs="宋体"/>
                <w:highlight w:val="yellow"/>
              </w:rPr>
              <w:t>月</w:t>
            </w:r>
            <w:r>
              <w:rPr>
                <w:rFonts w:hint="eastAsia" w:ascii="宋体" w:hAnsi="宋体" w:eastAsia="宋体" w:cs="宋体"/>
                <w:bCs/>
                <w:sz w:val="24"/>
                <w:szCs w:val="24"/>
                <w:highlight w:val="yellow"/>
                <w:u w:val="single"/>
                <w:lang w:val="en-US" w:eastAsia="zh-CN"/>
              </w:rPr>
              <w:t xml:space="preserve"> </w:t>
            </w:r>
            <w:r>
              <w:rPr>
                <w:rFonts w:hint="eastAsia" w:eastAsia="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eastAsia="宋体" w:cs="宋体"/>
                <w:highlight w:val="yellow"/>
              </w:rPr>
              <w:t>日</w:t>
            </w:r>
            <w:r>
              <w:rPr>
                <w:rFonts w:hint="eastAsia" w:eastAsia="宋体" w:cs="宋体"/>
                <w:highlight w:val="yellow"/>
                <w:lang w:val="en-US" w:eastAsia="zh-CN"/>
              </w:rPr>
              <w:t>17时00分00秒</w:t>
            </w:r>
          </w:p>
          <w:p>
            <w:pPr>
              <w:pStyle w:val="113"/>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eastAsia="宋体" w:cs="宋体" w:asciiTheme="minorHAnsi" w:hAnsiTheme="minorHAnsi"/>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三</w:t>
            </w:r>
            <w:r>
              <w:rPr>
                <w:rFonts w:hint="eastAsia" w:eastAsia="宋体" w:cs="宋体" w:asciiTheme="minorHAnsi" w:hAnsiTheme="minorHAnsi"/>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正本一份，副本两份</w:t>
            </w:r>
            <w:r>
              <w:rPr>
                <w:rFonts w:hint="eastAsia" w:eastAsia="宋体" w:cs="宋体" w:asciiTheme="minorHAnsi" w:hAnsiTheme="minorHAnsi"/>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w:t>
            </w:r>
            <w:r>
              <w:rPr>
                <w:rFonts w:hint="eastAsia" w:hAnsi="宋体" w:eastAsia="宋体" w:cs="Times New Roman"/>
                <w:color w:val="000000"/>
                <w:sz w:val="24"/>
                <w:szCs w:val="24"/>
                <w:highlight w:val="yellow"/>
                <w:lang w:eastAsia="zh-CN"/>
              </w:rPr>
              <w:t>高新区</w:t>
            </w:r>
            <w:r>
              <w:rPr>
                <w:rFonts w:hint="eastAsia" w:ascii="宋体" w:hAnsi="宋体" w:eastAsia="宋体" w:cs="Times New Roman"/>
                <w:color w:val="000000"/>
                <w:sz w:val="24"/>
                <w:szCs w:val="24"/>
                <w:highlight w:val="yellow"/>
              </w:rPr>
              <w:t>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7</w:t>
            </w:r>
            <w:r>
              <w:rPr>
                <w:rFonts w:hint="eastAsia" w:ascii="宋体" w:hAnsi="宋体" w:eastAsia="宋体" w:cs="宋体"/>
                <w:sz w:val="24"/>
                <w:szCs w:val="24"/>
                <w:highlight w:val="yellow"/>
              </w:rPr>
              <w:t>月</w:t>
            </w:r>
            <w:r>
              <w:rPr>
                <w:rFonts w:hint="eastAsia" w:ascii="宋体" w:hAnsi="宋体" w:eastAsia="宋体" w:cs="宋体"/>
                <w:bCs/>
                <w:sz w:val="24"/>
                <w:szCs w:val="24"/>
                <w:highlight w:val="yellow"/>
                <w:u w:val="single"/>
                <w:lang w:val="en-US" w:eastAsia="zh-CN"/>
              </w:rPr>
              <w:t xml:space="preserve"> </w:t>
            </w:r>
            <w:r>
              <w:rPr>
                <w:rFonts w:hint="eastAsia"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u w:val="single"/>
                <w:lang w:val="en-US" w:eastAsia="zh-CN"/>
              </w:rPr>
              <w:t xml:space="preserve"> </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00:00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b/>
                <w:bCs/>
                <w:color w:val="000000"/>
                <w:kern w:val="0"/>
                <w:sz w:val="24"/>
                <w:szCs w:val="24"/>
                <w:highlight w:val="none"/>
                <w:lang w:val="en-US" w:eastAsia="zh-CN"/>
              </w:rPr>
            </w:pPr>
            <w:r>
              <w:rPr>
                <w:rFonts w:hint="eastAsia" w:ascii="宋体" w:hAnsi="宋体" w:eastAsia="宋体" w:cs="宋体"/>
                <w:b/>
                <w:bCs/>
                <w:sz w:val="24"/>
                <w:szCs w:val="24"/>
              </w:rPr>
              <w:t>投标保证金</w:t>
            </w:r>
            <w:r>
              <w:rPr>
                <w:rFonts w:hint="eastAsia" w:ascii="宋体" w:hAnsi="宋体" w:eastAsia="宋体" w:cs="宋体"/>
                <w:b/>
                <w:bCs/>
                <w:sz w:val="24"/>
                <w:szCs w:val="24"/>
                <w:lang w:val="en-US" w:eastAsia="zh-CN"/>
              </w:rPr>
              <w:t>金额：</w:t>
            </w:r>
            <w:r>
              <w:rPr>
                <w:rFonts w:hint="eastAsia" w:ascii="宋体" w:hAnsi="宋体" w:eastAsia="宋体" w:cs="宋体"/>
                <w:b w:val="0"/>
                <w:bCs w:val="0"/>
                <w:sz w:val="24"/>
                <w:szCs w:val="24"/>
                <w:lang w:val="en-US" w:eastAsia="zh-CN"/>
              </w:rPr>
              <w:t>50000元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ascii="宋体" w:hAnsi="宋体" w:eastAsia="宋体" w:cs="宋体"/>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ascii="宋体" w:hAnsi="宋体" w:eastAsia="宋体" w:cs="宋体"/>
                <w:sz w:val="24"/>
                <w:szCs w:val="24"/>
                <w:highlight w:val="none"/>
              </w:rPr>
              <w:t>中国工商银行股份有限公司济南天桥支行</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ascii="宋体" w:hAnsi="宋体" w:eastAsia="宋体" w:cs="宋体"/>
                <w:sz w:val="24"/>
                <w:szCs w:val="24"/>
                <w:highlight w:val="none"/>
              </w:rPr>
              <w:t>1602005019200116248</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联行号：</w:t>
            </w:r>
            <w:r>
              <w:rPr>
                <w:rFonts w:ascii="宋体" w:hAnsi="宋体" w:eastAsia="宋体" w:cs="宋体"/>
                <w:sz w:val="24"/>
                <w:szCs w:val="24"/>
                <w:highlight w:val="none"/>
              </w:rPr>
              <w:t>102451000504</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cyan"/>
              </w:rPr>
              <w:t>（方便后期核对退款）</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2023年</w:t>
            </w:r>
            <w:r>
              <w:rPr>
                <w:rFonts w:hint="eastAsia" w:ascii="宋体" w:hAnsi="宋体" w:cs="宋体"/>
                <w:sz w:val="24"/>
                <w:szCs w:val="24"/>
                <w:highlight w:val="yellow"/>
                <w:lang w:val="en-US" w:eastAsia="zh-CN"/>
              </w:rPr>
              <w:t>7</w:t>
            </w:r>
            <w:r>
              <w:rPr>
                <w:rFonts w:hint="eastAsia" w:ascii="宋体" w:hAnsi="宋体" w:cs="宋体"/>
                <w:sz w:val="24"/>
                <w:szCs w:val="24"/>
                <w:highlight w:val="yellow"/>
              </w:rPr>
              <w:t>月</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bCs/>
                <w:sz w:val="24"/>
                <w:szCs w:val="24"/>
                <w:highlight w:val="yellow"/>
                <w:u w:val="single"/>
                <w:lang w:val="en-US" w:eastAsia="zh-CN"/>
              </w:rPr>
              <w:t>3</w:t>
            </w:r>
            <w:r>
              <w:rPr>
                <w:rFonts w:hint="eastAsia" w:ascii="宋体" w:hAnsi="宋体" w:eastAsia="宋体" w:cs="宋体"/>
                <w:bCs/>
                <w:sz w:val="24"/>
                <w:szCs w:val="24"/>
                <w:highlight w:val="yellow"/>
                <w:u w:val="single"/>
                <w:lang w:val="en-US" w:eastAsia="zh-CN"/>
              </w:rPr>
              <w:t xml:space="preserve"> </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17时00分00秒</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w:t>
            </w:r>
            <w:bookmarkStart w:id="165" w:name="_GoBack"/>
            <w:bookmarkEnd w:id="165"/>
            <w:r>
              <w:rPr>
                <w:rFonts w:hint="eastAsia" w:ascii="宋体" w:hAnsi="宋体" w:cs="宋体"/>
                <w:sz w:val="24"/>
                <w:szCs w:val="24"/>
                <w:highlight w:val="none"/>
              </w:rPr>
              <w:t>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6"/>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b/>
                <w:bCs/>
                <w:sz w:val="24"/>
                <w:szCs w:val="24"/>
                <w:lang w:val="en-US" w:eastAsia="zh-CN"/>
              </w:rPr>
              <w:t>同</w:t>
            </w:r>
            <w:r>
              <w:rPr>
                <w:rFonts w:hint="eastAsia" w:ascii="宋体" w:hAnsi="宋体" w:eastAsia="宋体" w:cs="宋体"/>
                <w:b/>
                <w:bCs/>
                <w:sz w:val="24"/>
                <w:szCs w:val="24"/>
              </w:rPr>
              <w:t>投标文件递交截止时间</w:t>
            </w:r>
            <w:r>
              <w:rPr>
                <w:rFonts w:hint="eastAsia" w:ascii="宋体" w:hAnsi="宋体" w:eastAsia="宋体" w:cs="宋体"/>
                <w:kern w:val="0"/>
                <w:sz w:val="24"/>
                <w:szCs w:val="24"/>
                <w:highlight w:val="none"/>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宋体"/>
                <w:sz w:val="24"/>
                <w:szCs w:val="24"/>
                <w:highlight w:val="yellow"/>
                <w:lang w:eastAsia="zh-CN"/>
              </w:rPr>
              <w:t>高新区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lang w:val="en-US" w:eastAsia="zh-CN"/>
              </w:rPr>
              <w:t>180</w:t>
            </w:r>
            <w:r>
              <w:rPr>
                <w:rFonts w:hint="eastAsia" w:hAnsi="宋体" w:eastAsia="宋体" w:cs="宋体"/>
                <w:color w:val="000000"/>
                <w:sz w:val="24"/>
                <w:szCs w:val="24"/>
                <w:highlight w:val="none"/>
              </w:rPr>
              <w:t>个日历日之内交货至供货地点。</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30</w:t>
            </w:r>
            <w:r>
              <w:rPr>
                <w:rFonts w:hint="eastAsia" w:hAnsi="宋体" w:eastAsia="宋体" w:cs="宋体"/>
                <w:color w:val="000000"/>
                <w:sz w:val="24"/>
                <w:szCs w:val="24"/>
                <w:highlight w:val="none"/>
              </w:rPr>
              <w:t>个日历日之内安装调试完毕。</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接续30</w:t>
            </w:r>
            <w:r>
              <w:rPr>
                <w:rFonts w:hint="eastAsia" w:hAnsi="宋体" w:eastAsia="宋体" w:cs="宋体"/>
                <w:color w:val="000000"/>
                <w:sz w:val="24"/>
                <w:szCs w:val="24"/>
                <w:highlight w:val="none"/>
              </w:rPr>
              <w:t>个日历日之内完成终验收。</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lang w:val="en-US" w:eastAsia="zh-CN"/>
              </w:rPr>
              <w:t>10天</w:t>
            </w:r>
            <w:r>
              <w:rPr>
                <w:rFonts w:hint="eastAsia" w:hAnsi="宋体" w:eastAsia="宋体" w:cs="宋体"/>
                <w:color w:val="000000"/>
                <w:sz w:val="24"/>
                <w:szCs w:val="24"/>
                <w:highlight w:val="none"/>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u w:val="single"/>
              </w:rPr>
              <w:t>济南市</w:t>
            </w:r>
            <w:r>
              <w:rPr>
                <w:rFonts w:hint="eastAsia" w:hAnsi="宋体" w:eastAsia="宋体" w:cs="宋体"/>
                <w:color w:val="000000"/>
                <w:sz w:val="24"/>
                <w:szCs w:val="24"/>
                <w:highlight w:val="none"/>
                <w:u w:val="single"/>
                <w:lang w:val="en-US" w:eastAsia="zh-CN"/>
              </w:rPr>
              <w:t>高新区</w:t>
            </w:r>
            <w:r>
              <w:rPr>
                <w:rFonts w:hint="eastAsia" w:ascii="宋体" w:hAnsi="宋体" w:eastAsia="宋体" w:cs="宋体"/>
                <w:color w:val="000000"/>
                <w:sz w:val="24"/>
                <w:szCs w:val="24"/>
                <w:highlight w:val="none"/>
                <w:u w:val="single"/>
              </w:rPr>
              <w:t>华奥路777号中国重汽科技大厦园区</w:t>
            </w:r>
            <w:r>
              <w:rPr>
                <w:rFonts w:hint="eastAsia" w:hAnsi="宋体" w:eastAsia="宋体" w:cs="宋体"/>
                <w:color w:val="000000"/>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3</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（1）合同生效后, 卖方提交金额为合同含税价款</w:t>
            </w:r>
            <w:r>
              <w:rPr>
                <w:rFonts w:hint="eastAsia" w:hAnsi="宋体" w:eastAsia="宋体" w:cs="宋体"/>
                <w:b/>
                <w:bCs/>
                <w:kern w:val="2"/>
                <w:sz w:val="24"/>
                <w:szCs w:val="24"/>
                <w:highlight w:val="none"/>
                <w:lang w:val="en-US" w:eastAsia="zh-CN" w:bidi="ar-SA"/>
              </w:rPr>
              <w:t>15</w:t>
            </w: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的收据（正本一份，复印件二份）及增值税专用发票（正本一份，复印件二份），经买方依照财务制度审核通过后30日支付。</w:t>
            </w:r>
          </w:p>
          <w:p>
            <w:pPr>
              <w:pStyle w:val="2"/>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75</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w:t>
            </w:r>
            <w:r>
              <w:rPr>
                <w:rFonts w:hint="eastAsia" w:hAnsi="宋体" w:eastAsia="宋体" w:cs="宋体"/>
                <w:color w:val="000000"/>
                <w:sz w:val="24"/>
                <w:szCs w:val="24"/>
                <w:highlight w:val="none"/>
                <w:lang w:eastAsia="zh-CN"/>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85</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pStyle w:val="2"/>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eastAsia="宋体" w:cs="宋体"/>
                <w:sz w:val="24"/>
                <w:szCs w:val="24"/>
              </w:rPr>
            </w:pPr>
            <w:r>
              <w:rPr>
                <w:rFonts w:hint="eastAsia" w:ascii="宋体" w:hAnsi="宋体" w:eastAsia="宋体" w:cs="宋体"/>
                <w:kern w:val="2"/>
                <w:sz w:val="24"/>
                <w:szCs w:val="24"/>
                <w:highlight w:val="none"/>
                <w:lang w:val="en-US" w:eastAsia="zh-CN" w:bidi="ar-SA"/>
              </w:rPr>
              <w:t>（</w:t>
            </w:r>
            <w:r>
              <w:rPr>
                <w:rFonts w:hint="eastAsia" w:hAnsi="宋体" w:eastAsia="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 xml:space="preserve">）合同含税总价款的 </w:t>
            </w:r>
            <w:r>
              <w:rPr>
                <w:rFonts w:hint="eastAsia" w:hAnsi="宋体" w:eastAsia="宋体" w:cs="宋体"/>
                <w:b/>
                <w:bCs/>
                <w:kern w:val="2"/>
                <w:sz w:val="24"/>
                <w:szCs w:val="24"/>
                <w:highlight w:val="none"/>
                <w:lang w:val="en-US" w:eastAsia="zh-CN" w:bidi="ar-SA"/>
              </w:rPr>
              <w:t>10</w:t>
            </w:r>
            <w:r>
              <w:rPr>
                <w:rFonts w:hint="eastAsia" w:ascii="宋体" w:hAnsi="宋体" w:eastAsia="宋体" w:cs="宋体"/>
                <w:b/>
                <w:bCs/>
                <w:kern w:val="2"/>
                <w:sz w:val="24"/>
                <w:szCs w:val="24"/>
                <w:highlight w:val="none"/>
                <w:lang w:val="en-US" w:eastAsia="zh-CN" w:bidi="ar-SA"/>
              </w:rPr>
              <w:t xml:space="preserve"> %</w:t>
            </w:r>
            <w:r>
              <w:rPr>
                <w:rFonts w:hint="eastAsia" w:ascii="宋体" w:hAnsi="宋体" w:eastAsia="宋体" w:cs="宋体"/>
                <w:kern w:val="2"/>
                <w:sz w:val="24"/>
                <w:szCs w:val="24"/>
                <w:highlight w:val="none"/>
                <w:lang w:val="en-US" w:eastAsia="zh-CN" w:bidi="ar-SA"/>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w:t>
            </w:r>
            <w:r>
              <w:rPr>
                <w:rFonts w:hint="eastAsia" w:ascii="宋体" w:hAnsi="宋体" w:eastAsia="宋体" w:cs="宋体"/>
                <w:sz w:val="24"/>
                <w:szCs w:val="24"/>
                <w:highlight w:val="yellow"/>
              </w:rPr>
              <w:t>及服务支持问题</w:t>
            </w:r>
            <w:r>
              <w:rPr>
                <w:rFonts w:hint="eastAsia" w:ascii="宋体" w:hAnsi="宋体" w:eastAsia="宋体" w:cs="宋体"/>
                <w:kern w:val="2"/>
                <w:sz w:val="24"/>
                <w:szCs w:val="24"/>
                <w:highlight w:val="yellow"/>
                <w:lang w:val="en-US" w:eastAsia="zh-CN" w:bidi="ar-SA"/>
              </w:rPr>
              <w:t>，</w:t>
            </w:r>
            <w:r>
              <w:rPr>
                <w:rFonts w:hint="eastAsia" w:ascii="宋体" w:hAnsi="宋体" w:eastAsia="宋体" w:cs="宋体"/>
                <w:kern w:val="2"/>
                <w:sz w:val="24"/>
                <w:szCs w:val="24"/>
                <w:highlight w:val="none"/>
                <w:lang w:val="en-US" w:eastAsia="zh-CN" w:bidi="ar-SA"/>
              </w:rPr>
              <w:t>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15</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3"/>
                <w:rFonts w:hint="eastAsia" w:ascii="宋体" w:hAnsi="宋体" w:eastAsia="宋体" w:cs="宋体"/>
                <w:sz w:val="24"/>
                <w:szCs w:val="24"/>
              </w:rPr>
              <w:t>提资</w:t>
            </w:r>
            <w:r>
              <w:rPr>
                <w:rFonts w:hint="eastAsia" w:ascii="宋体" w:hAnsi="宋体" w:eastAsia="宋体" w:cs="宋体"/>
                <w:sz w:val="24"/>
                <w:szCs w:val="24"/>
              </w:rPr>
              <w:t>要求提供详细的</w:t>
            </w:r>
            <w:r>
              <w:rPr>
                <w:rStyle w:val="43"/>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3"/>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3"/>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fmt="decimal"/>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250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3"/>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3"/>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pPr>
        <w:pStyle w:val="113"/>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w:t>
      </w: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85487"/>
      <w:bookmarkStart w:id="7" w:name="_Toc33267001"/>
      <w:bookmarkStart w:id="8" w:name="_Toc33266627"/>
      <w:bookmarkStart w:id="9" w:name="_Toc33266914"/>
      <w:bookmarkStart w:id="10" w:name="_Toc33265653"/>
      <w:bookmarkStart w:id="11" w:name="_Toc33265752"/>
      <w:bookmarkStart w:id="12" w:name="_Toc33266950"/>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67002"/>
      <w:bookmarkStart w:id="15" w:name="_Toc33265654"/>
      <w:bookmarkStart w:id="16" w:name="_Toc33285489"/>
      <w:bookmarkStart w:id="17" w:name="_Toc33266915"/>
      <w:bookmarkStart w:id="18" w:name="_Toc33266951"/>
      <w:bookmarkStart w:id="19" w:name="_Toc395116634"/>
      <w:bookmarkStart w:id="20" w:name="_Toc33265753"/>
      <w:bookmarkStart w:id="21" w:name="_Toc33266628"/>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highlight w:val="yellow"/>
        </w:rPr>
      </w:pPr>
      <w:r>
        <w:rPr>
          <w:rFonts w:hint="eastAsia" w:ascii="宋体" w:hAnsi="宋体" w:eastAsia="宋体" w:cs="宋体"/>
          <w:b/>
          <w:color w:val="auto"/>
          <w:sz w:val="24"/>
          <w:szCs w:val="24"/>
          <w:highlight w:val="yellow"/>
          <w:lang w:val="en-US" w:eastAsia="zh-CN"/>
        </w:rPr>
        <w:t>注意：投标人均需要自带笔记本电脑在重汽e采通进行自主投标和提交澄清函；投标和提交澄清函均有时间限制，超时未提交的按无效处理。</w:t>
      </w:r>
    </w:p>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2.中标人确定</w:t>
      </w:r>
    </w:p>
    <w:p>
      <w:pPr>
        <w:spacing w:line="360" w:lineRule="auto"/>
        <w:ind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技术标入围后，原则上合理最低价中标</w:t>
      </w:r>
      <w:r>
        <w:rPr>
          <w:rFonts w:hint="eastAsia" w:ascii="宋体" w:hAnsi="宋体" w:eastAsia="宋体" w:cs="宋体"/>
          <w:b/>
          <w:bCs/>
          <w:color w:val="000000"/>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5"/>
      <w:bookmarkStart w:id="24" w:name="OLE_LINK27"/>
      <w:bookmarkStart w:id="25" w:name="OLE_LINK26"/>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pgNumType w:fmt="decimal"/>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27" w:name="_Toc15873"/>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需加盖公章</w:t>
      </w:r>
      <w:r>
        <w:rPr>
          <w:rFonts w:hint="eastAsia" w:ascii="宋体" w:hAnsi="宋体" w:eastAsia="宋体" w:cs="宋体"/>
          <w:b/>
          <w:bCs/>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hAnsi="宋体" w:eastAsia="宋体" w:cs="宋体"/>
          <w:color w:val="000000"/>
          <w:sz w:val="24"/>
          <w:szCs w:val="24"/>
        </w:rPr>
        <w:t>经</w:t>
      </w:r>
      <w:r>
        <w:rPr>
          <w:rFonts w:hint="eastAsia" w:hAnsi="宋体" w:eastAsia="宋体" w:cs="宋体"/>
          <w:b/>
          <w:bCs/>
          <w:color w:val="000000"/>
          <w:sz w:val="24"/>
          <w:szCs w:val="24"/>
        </w:rPr>
        <w:t>第三方</w:t>
      </w:r>
      <w:r>
        <w:rPr>
          <w:rFonts w:hint="eastAsia" w:hAnsi="宋体" w:eastAsia="宋体" w:cs="宋体"/>
          <w:color w:val="000000"/>
          <w:sz w:val="24"/>
          <w:szCs w:val="24"/>
        </w:rPr>
        <w:t>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w:t>
      </w:r>
      <w:r>
        <w:rPr>
          <w:rFonts w:hint="eastAsia" w:ascii="宋体" w:hAnsi="宋体" w:eastAsia="宋体" w:cs="宋体"/>
          <w:color w:val="000000"/>
          <w:sz w:val="24"/>
          <w:szCs w:val="24"/>
          <w:highlight w:val="none"/>
          <w:lang w:val="en-US" w:eastAsia="zh-CN"/>
        </w:rPr>
        <w:t>企业</w:t>
      </w:r>
      <w:r>
        <w:rPr>
          <w:rFonts w:hint="eastAsia" w:ascii="宋体" w:hAnsi="宋体" w:eastAsia="宋体" w:cs="宋体"/>
          <w:color w:val="000000"/>
          <w:sz w:val="24"/>
          <w:szCs w:val="24"/>
          <w:lang w:val="en-US" w:eastAsia="zh-CN"/>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val="0"/>
          <w:bCs/>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r>
        <w:rPr>
          <w:rFonts w:hint="eastAsia" w:ascii="宋体" w:hAnsi="宋体" w:eastAsia="宋体" w:cs="宋体"/>
          <w:b w:val="0"/>
          <w:bCs/>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2.2提供20</w:t>
      </w:r>
      <w:r>
        <w:rPr>
          <w:rFonts w:hint="eastAsia" w:ascii="宋体" w:hAnsi="宋体" w:eastAsia="宋体" w:cs="宋体"/>
          <w:color w:val="000000"/>
          <w:sz w:val="24"/>
          <w:szCs w:val="24"/>
          <w:lang w:val="en-US" w:eastAsia="zh-CN"/>
        </w:rPr>
        <w:t>20</w:t>
      </w:r>
      <w:r>
        <w:rPr>
          <w:rFonts w:hint="eastAsia" w:ascii="宋体" w:hAnsi="宋体" w:eastAsia="宋体" w:cs="宋体"/>
          <w:color w:val="000000"/>
          <w:sz w:val="24"/>
          <w:szCs w:val="24"/>
        </w:rPr>
        <w:t>年1月1日以来同类产品的制造销售业绩</w:t>
      </w: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lang w:eastAsia="zh-CN"/>
        </w:rPr>
        <w:t>）填写</w:t>
      </w:r>
      <w:r>
        <w:rPr>
          <w:rFonts w:hint="eastAsia" w:ascii="宋体" w:hAnsi="宋体" w:eastAsia="宋体" w:cs="宋体"/>
          <w:color w:val="000000"/>
          <w:sz w:val="24"/>
          <w:szCs w:val="24"/>
        </w:rPr>
        <w:t>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3.1开标一览表（附件8）；</w:t>
      </w:r>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3.2投标</w:t>
      </w:r>
      <w:r>
        <w:rPr>
          <w:rFonts w:hint="eastAsia" w:ascii="宋体" w:hAnsi="宋体" w:eastAsia="宋体" w:cs="宋体"/>
          <w:b w:val="0"/>
          <w:bCs w:val="0"/>
          <w:color w:val="000000"/>
          <w:sz w:val="24"/>
          <w:szCs w:val="24"/>
          <w:highlight w:val="none"/>
        </w:rPr>
        <w:t>报价明细表（附件9</w:t>
      </w:r>
      <w:r>
        <w:rPr>
          <w:rFonts w:hint="eastAsia" w:ascii="宋体" w:hAnsi="宋体" w:eastAsia="宋体" w:cs="宋体"/>
          <w:b w:val="0"/>
          <w:bCs w:val="0"/>
          <w:color w:val="000000"/>
          <w:sz w:val="24"/>
          <w:szCs w:val="24"/>
          <w:highlight w:val="none"/>
          <w:lang w:val="en-US" w:eastAsia="zh-CN"/>
        </w:rPr>
        <w:t>-1至9-5</w:t>
      </w:r>
      <w:r>
        <w:rPr>
          <w:rFonts w:hint="eastAsia" w:ascii="宋体" w:hAnsi="宋体" w:eastAsia="宋体" w:cs="宋体"/>
          <w:b w:val="0"/>
          <w:bCs w:val="0"/>
          <w:color w:val="000000"/>
          <w:sz w:val="24"/>
          <w:szCs w:val="24"/>
          <w:highlight w:val="none"/>
        </w:rPr>
        <w:t>）；</w:t>
      </w:r>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3.3商务条款偏离表（附件10）</w:t>
      </w:r>
      <w:bookmarkStart w:id="30" w:name="OLE_LINK18"/>
      <w:bookmarkStart w:id="31" w:name="OLE_LINK19"/>
      <w:r>
        <w:rPr>
          <w:rFonts w:hint="eastAsia" w:ascii="宋体" w:hAnsi="宋体" w:eastAsia="宋体" w:cs="宋体"/>
          <w:b w:val="0"/>
          <w:bCs w:val="0"/>
          <w:color w:val="000000"/>
          <w:sz w:val="24"/>
          <w:szCs w:val="24"/>
        </w:rPr>
        <w:t>；</w:t>
      </w:r>
      <w:bookmarkEnd w:id="30"/>
      <w:bookmarkEnd w:id="31"/>
      <w:r>
        <w:rPr>
          <w:rFonts w:hint="eastAsia" w:ascii="宋体" w:hAnsi="宋体" w:eastAsia="宋体" w:cs="宋体"/>
          <w:b w:val="0"/>
          <w:bCs w:val="0"/>
          <w:color w:val="000000"/>
          <w:sz w:val="24"/>
          <w:szCs w:val="24"/>
        </w:rPr>
        <w:t xml:space="preserve"> </w:t>
      </w:r>
    </w:p>
    <w:p>
      <w:pPr>
        <w:spacing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3.4投标人承诺（附件11）；</w:t>
      </w:r>
    </w:p>
    <w:p>
      <w:pPr>
        <w:spacing w:line="360" w:lineRule="auto"/>
        <w:ind w:firstLine="480" w:firstLineChars="200"/>
        <w:rPr>
          <w:rFonts w:hint="eastAsia" w:ascii="宋体" w:hAnsi="宋体" w:eastAsia="宋体" w:cs="宋体"/>
          <w:b/>
          <w:color w:val="000000"/>
          <w:sz w:val="24"/>
          <w:szCs w:val="24"/>
          <w:lang w:val="en-US" w:eastAsia="zh-CN"/>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pgNumType w:fmt="decimal"/>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20822"/>
      <w:bookmarkStart w:id="33" w:name="_Toc9849"/>
      <w:r>
        <w:rPr>
          <w:rFonts w:hint="eastAsia" w:ascii="Calibri" w:hAnsi="Calibri" w:eastAsia="宋体" w:cs="Times New Roman"/>
          <w:b/>
          <w:bCs/>
          <w:kern w:val="44"/>
          <w:sz w:val="36"/>
          <w:szCs w:val="44"/>
        </w:rPr>
        <w:t>第四部分 技术标书</w:t>
      </w:r>
      <w:bookmarkEnd w:id="32"/>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spacing w:val="-8"/>
          <w:sz w:val="48"/>
          <w:szCs w:val="44"/>
        </w:rPr>
        <w:t>车载网络测试系统</w:t>
      </w:r>
      <w:r>
        <w:rPr>
          <w:rFonts w:hint="eastAsia" w:ascii="Calibri" w:hAnsi="宋体" w:eastAsia="宋体" w:cs="Times New Roman"/>
          <w:b/>
          <w:bCs/>
          <w:color w:val="000000"/>
          <w:spacing w:val="-8"/>
          <w:sz w:val="48"/>
          <w:szCs w:val="44"/>
        </w:rPr>
        <w:t>项目</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第一节  使用环境</w:t>
      </w:r>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车载网络测试系统项目</w:t>
      </w:r>
    </w:p>
    <w:p>
      <w:pPr>
        <w:spacing w:line="360" w:lineRule="auto"/>
        <w:outlineLvl w:val="3"/>
        <w:rPr>
          <w:rFonts w:hint="eastAsia" w:ascii="宋体" w:hAnsi="宋体" w:eastAsia="宋体" w:cs="宋体"/>
          <w:sz w:val="24"/>
          <w:szCs w:val="24"/>
          <w:highlight w:val="yellow"/>
          <w:u w:val="single"/>
          <w:shd w:val="pct10" w:color="auto" w:fill="FFFFFF"/>
          <w:lang w:eastAsia="zh-CN"/>
        </w:rPr>
      </w:pPr>
      <w:r>
        <w:rPr>
          <w:rFonts w:hint="eastAsia" w:ascii="宋体" w:hAnsi="宋体" w:eastAsia="宋体" w:cs="宋体"/>
          <w:sz w:val="24"/>
          <w:szCs w:val="24"/>
        </w:rPr>
        <w:t>二、建设地点：</w:t>
      </w:r>
      <w:r>
        <w:rPr>
          <w:rFonts w:hint="eastAsia" w:ascii="宋体" w:hAnsi="宋体" w:eastAsia="宋体" w:cs="宋体"/>
          <w:sz w:val="24"/>
          <w:szCs w:val="24"/>
          <w:highlight w:val="yellow"/>
          <w:u w:val="single"/>
        </w:rPr>
        <w:t>济南市高新区华奥路777号</w:t>
      </w:r>
      <w:r>
        <w:rPr>
          <w:rFonts w:hint="eastAsia" w:ascii="宋体" w:hAnsi="宋体" w:eastAsia="宋体" w:cs="宋体"/>
          <w:sz w:val="24"/>
          <w:szCs w:val="24"/>
          <w:highlight w:val="yellow"/>
          <w:u w:val="single"/>
          <w:lang w:eastAsia="zh-CN"/>
        </w:rPr>
        <w:t>中国重汽科技大厦园区</w:t>
      </w:r>
    </w:p>
    <w:p>
      <w:pPr>
        <w:spacing w:line="360" w:lineRule="auto"/>
        <w:outlineLvl w:val="3"/>
        <w:rPr>
          <w:rFonts w:hint="eastAsia" w:ascii="宋体" w:hAnsi="宋体" w:eastAsia="宋体" w:cs="宋体"/>
          <w:sz w:val="24"/>
          <w:szCs w:val="24"/>
          <w:lang w:eastAsia="zh-CN"/>
        </w:rPr>
      </w:pPr>
      <w:r>
        <w:rPr>
          <w:rFonts w:hint="eastAsia" w:ascii="宋体" w:hAnsi="宋体" w:eastAsia="宋体" w:cs="宋体"/>
          <w:sz w:val="24"/>
          <w:szCs w:val="24"/>
        </w:rPr>
        <w:t>三、使用地点：</w:t>
      </w:r>
      <w:r>
        <w:rPr>
          <w:rFonts w:hint="eastAsia" w:ascii="宋体" w:hAnsi="宋体" w:eastAsia="宋体" w:cs="宋体"/>
          <w:sz w:val="24"/>
          <w:szCs w:val="24"/>
          <w:highlight w:val="yellow"/>
          <w:u w:val="single"/>
        </w:rPr>
        <w:t>济南市高新区华奥路777号</w:t>
      </w:r>
      <w:r>
        <w:rPr>
          <w:rFonts w:hint="eastAsia" w:ascii="宋体" w:hAnsi="宋体" w:eastAsia="宋体" w:cs="宋体"/>
          <w:sz w:val="24"/>
          <w:szCs w:val="24"/>
          <w:highlight w:val="yellow"/>
          <w:u w:val="single"/>
          <w:lang w:eastAsia="zh-CN"/>
        </w:rPr>
        <w:t>中国重汽科技大厦园区</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四、工作制度：全年工作365天、一班制、设备年时基数</w:t>
      </w:r>
      <w:r>
        <w:rPr>
          <w:rFonts w:ascii="宋体" w:hAnsi="宋体" w:eastAsia="宋体" w:cs="宋体"/>
          <w:sz w:val="24"/>
          <w:szCs w:val="24"/>
        </w:rPr>
        <w:t>4380</w:t>
      </w:r>
      <w:r>
        <w:rPr>
          <w:rFonts w:hint="eastAsia" w:ascii="宋体" w:hAnsi="宋体" w:eastAsia="宋体" w:cs="宋体"/>
          <w:sz w:val="24"/>
          <w:szCs w:val="24"/>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电力：中国制式，供电电压380V±15%/220V±15%，供电频率50Hz±2%；</w:t>
      </w:r>
    </w:p>
    <w:p>
      <w:pPr>
        <w:keepNext/>
        <w:keepLines/>
        <w:spacing w:before="120" w:after="120" w:line="360" w:lineRule="auto"/>
        <w:jc w:val="center"/>
        <w:outlineLvl w:val="2"/>
        <w:rPr>
          <w:rFonts w:ascii="宋体" w:hAnsi="宋体" w:eastAsia="宋体" w:cs="宋体"/>
          <w:b/>
          <w:bCs/>
          <w:sz w:val="24"/>
          <w:szCs w:val="24"/>
        </w:rPr>
      </w:pPr>
      <w:r>
        <w:rPr>
          <w:rFonts w:hint="eastAsia" w:ascii="宋体" w:hAnsi="宋体" w:eastAsia="宋体" w:cs="宋体"/>
          <w:b/>
          <w:bCs/>
          <w:sz w:val="24"/>
          <w:szCs w:val="24"/>
        </w:rPr>
        <w:t>第二节  采购货物概况</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rPr>
        <w:t>车载网络测试系统</w:t>
      </w:r>
      <w:r>
        <w:rPr>
          <w:rFonts w:hint="eastAsia" w:ascii="宋体" w:hAnsi="宋体" w:eastAsia="宋体" w:cs="宋体"/>
          <w:sz w:val="24"/>
          <w:szCs w:val="24"/>
        </w:rPr>
        <w:t>（详见下表）</w:t>
      </w:r>
    </w:p>
    <w:p>
      <w:pPr>
        <w:spacing w:line="360" w:lineRule="auto"/>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rPr>
        <w:t>1套</w:t>
      </w:r>
      <w:r>
        <w:rPr>
          <w:rFonts w:hint="eastAsia" w:ascii="宋体" w:hAnsi="宋体" w:eastAsia="宋体" w:cs="宋体"/>
          <w:sz w:val="24"/>
          <w:szCs w:val="24"/>
        </w:rPr>
        <w:t>（详见下表）</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采购货物主要构成一览表</w:t>
      </w:r>
    </w:p>
    <w:tbl>
      <w:tblPr>
        <w:tblStyle w:val="37"/>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919"/>
        <w:gridCol w:w="255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2919"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2559" w:type="dxa"/>
            <w:vAlign w:val="center"/>
          </w:tcPr>
          <w:p>
            <w:pPr>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c>
          <w:tcPr>
            <w:tcW w:w="2919" w:type="dxa"/>
            <w:vAlign w:val="center"/>
          </w:tcPr>
          <w:p>
            <w:pPr>
              <w:jc w:val="center"/>
              <w:rPr>
                <w:rFonts w:ascii="宋体" w:hAnsi="宋体" w:eastAsia="宋体" w:cs="宋体"/>
                <w:sz w:val="24"/>
                <w:szCs w:val="24"/>
              </w:rPr>
            </w:pPr>
            <w:r>
              <w:rPr>
                <w:rFonts w:hint="eastAsia" w:ascii="宋体" w:hAnsi="宋体" w:eastAsia="宋体" w:cs="Times New Roman"/>
                <w:color w:val="000000"/>
                <w:sz w:val="24"/>
                <w:szCs w:val="24"/>
              </w:rPr>
              <w:t>车载网络测试系统</w:t>
            </w:r>
          </w:p>
        </w:tc>
        <w:tc>
          <w:tcPr>
            <w:tcW w:w="2559" w:type="dxa"/>
            <w:vAlign w:val="center"/>
          </w:tcPr>
          <w:p>
            <w:pPr>
              <w:jc w:val="center"/>
              <w:rPr>
                <w:rFonts w:ascii="宋体" w:hAnsi="宋体" w:eastAsia="宋体" w:cs="宋体"/>
                <w:sz w:val="24"/>
                <w:szCs w:val="24"/>
              </w:rPr>
            </w:pPr>
            <w:r>
              <w:rPr>
                <w:rFonts w:hint="eastAsia" w:ascii="宋体" w:hAnsi="宋体" w:eastAsia="宋体" w:cs="宋体"/>
                <w:sz w:val="24"/>
                <w:szCs w:val="24"/>
              </w:rPr>
              <w:t>见第二章技术要求</w:t>
            </w:r>
          </w:p>
        </w:tc>
        <w:tc>
          <w:tcPr>
            <w:tcW w:w="1513" w:type="dxa"/>
            <w:vAlign w:val="center"/>
          </w:tcPr>
          <w:p>
            <w:pPr>
              <w:jc w:val="center"/>
              <w:rPr>
                <w:rFonts w:ascii="宋体" w:hAnsi="宋体" w:eastAsia="宋体" w:cs="宋体"/>
                <w:sz w:val="24"/>
                <w:szCs w:val="24"/>
              </w:rPr>
            </w:pPr>
            <w:r>
              <w:rPr>
                <w:rFonts w:hint="eastAsia" w:ascii="宋体" w:hAnsi="宋体" w:eastAsia="宋体" w:cs="宋体"/>
                <w:sz w:val="24"/>
                <w:szCs w:val="24"/>
              </w:rPr>
              <w:t>套</w:t>
            </w:r>
          </w:p>
        </w:tc>
        <w:tc>
          <w:tcPr>
            <w:tcW w:w="1105" w:type="dxa"/>
            <w:vAlign w:val="center"/>
          </w:tcPr>
          <w:p>
            <w:pPr>
              <w:jc w:val="center"/>
              <w:rPr>
                <w:rFonts w:ascii="宋体" w:hAnsi="宋体" w:eastAsia="宋体" w:cs="宋体"/>
                <w:sz w:val="24"/>
                <w:szCs w:val="24"/>
              </w:rPr>
            </w:pPr>
            <w:r>
              <w:rPr>
                <w:rFonts w:hint="eastAsia" w:ascii="宋体" w:hAnsi="宋体" w:eastAsia="宋体" w:cs="宋体"/>
                <w:sz w:val="24"/>
                <w:szCs w:val="24"/>
              </w:rPr>
              <w:t>1</w:t>
            </w:r>
          </w:p>
        </w:tc>
      </w:tr>
    </w:tbl>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pStyle w:val="2"/>
        <w:spacing w:line="360" w:lineRule="auto"/>
        <w:ind w:firstLine="480" w:firstLineChars="200"/>
        <w:rPr>
          <w:rFonts w:hAnsi="宋体" w:eastAsia="宋体" w:cs="宋体"/>
          <w:sz w:val="24"/>
          <w:szCs w:val="24"/>
        </w:rPr>
      </w:pPr>
      <w:r>
        <w:rPr>
          <w:rFonts w:hint="eastAsia" w:hAnsi="宋体" w:eastAsia="宋体" w:cs="宋体"/>
          <w:sz w:val="24"/>
          <w:szCs w:val="24"/>
        </w:rPr>
        <w:t>本项目涉及设备部分为进口品牌，于第二章技术要求部分具体约束。</w:t>
      </w:r>
    </w:p>
    <w:p>
      <w:pPr>
        <w:pStyle w:val="14"/>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pPr>
        <w:pStyle w:val="14"/>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本项目涉及的所有设备通讯协议需在技术方案评审时一并免费提交给招标方，并协助招标方开展设备集成工作。</w:t>
      </w:r>
    </w:p>
    <w:p>
      <w:pPr>
        <w:pStyle w:val="14"/>
        <w:spacing w:before="0" w:after="0" w:afterLines="0" w:line="360" w:lineRule="auto"/>
        <w:ind w:firstLine="480" w:firstLineChars="200"/>
        <w:rPr>
          <w:rFonts w:ascii="宋体" w:hAnsi="宋体" w:eastAsia="宋体" w:cs="宋体"/>
          <w:sz w:val="24"/>
          <w:szCs w:val="24"/>
        </w:rPr>
      </w:pPr>
      <w:r>
        <w:rPr>
          <w:rFonts w:hint="eastAsia" w:ascii="宋体" w:hAnsi="宋体" w:eastAsia="宋体" w:cs="宋体"/>
          <w:sz w:val="24"/>
          <w:szCs w:val="24"/>
        </w:rPr>
        <w:t>各单元原理图、电路图、程序框图、技术规格和指标、接口协议、各部件型号和参数清单在协议签订2个月内提供。</w:t>
      </w:r>
    </w:p>
    <w:p>
      <w:pPr>
        <w:widowControl/>
        <w:jc w:val="left"/>
      </w:pPr>
      <w:r>
        <w:br w:type="page"/>
      </w:r>
    </w:p>
    <w:p>
      <w:pPr>
        <w:keepNext/>
        <w:keepLines/>
        <w:spacing w:before="120" w:after="120" w:line="480" w:lineRule="exact"/>
        <w:jc w:val="center"/>
        <w:outlineLvl w:val="1"/>
        <w:rPr>
          <w:rFonts w:ascii="宋体" w:hAnsi="宋体" w:eastAsia="宋体" w:cs="宋体"/>
          <w:bCs/>
          <w:kern w:val="44"/>
          <w:sz w:val="24"/>
          <w:szCs w:val="24"/>
        </w:rPr>
      </w:pPr>
      <w:r>
        <w:rPr>
          <w:rFonts w:hint="eastAsia" w:ascii="宋体" w:hAnsi="宋体" w:eastAsia="宋体" w:cs="宋体"/>
          <w:b/>
          <w:bCs/>
          <w:kern w:val="44"/>
          <w:sz w:val="24"/>
          <w:szCs w:val="24"/>
        </w:rPr>
        <w:t>第二章  技术要求</w:t>
      </w:r>
    </w:p>
    <w:p>
      <w:pPr>
        <w:pStyle w:val="5"/>
        <w:ind w:firstLine="420"/>
        <w:rPr>
          <w:rFonts w:ascii="宋体" w:hAnsi="宋体" w:cs="宋体"/>
          <w:b w:val="0"/>
          <w:bCs w:val="0"/>
          <w:sz w:val="24"/>
          <w:szCs w:val="24"/>
        </w:rPr>
      </w:pPr>
      <w:r>
        <w:rPr>
          <w:rFonts w:hint="eastAsia" w:ascii="宋体" w:hAnsi="宋体" w:cs="宋体"/>
          <w:sz w:val="24"/>
          <w:szCs w:val="24"/>
        </w:rPr>
        <w:t>一、特别提示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2.本技术要求所使用的标准、规范等，如与投标人所执行的标准、规范不一致时，应按高于本技术要求所列的标准、规范执行。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宋体" w:eastAsia="宋体" w:cs="宋体"/>
          <w:sz w:val="24"/>
          <w:szCs w:val="24"/>
        </w:rPr>
      </w:pPr>
      <w:r>
        <w:rPr>
          <w:rFonts w:hint="eastAsia" w:ascii="宋体" w:hAnsi="宋体" w:eastAsia="宋体" w:cs="宋体"/>
          <w:bCs/>
          <w:sz w:val="24"/>
          <w:szCs w:val="24"/>
        </w:rPr>
        <w:t>4.投标人应根据招投标货物具体要求，提出</w:t>
      </w:r>
      <w:r>
        <w:rPr>
          <w:rFonts w:hint="eastAsia" w:ascii="宋体" w:hAnsi="宋体" w:eastAsia="宋体" w:cs="宋体"/>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ind w:firstLine="42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5"/>
        <w:ind w:firstLine="420"/>
        <w:rPr>
          <w:rFonts w:ascii="宋体" w:hAnsi="宋体" w:cs="宋体"/>
          <w:b w:val="0"/>
          <w:bCs w:val="0"/>
          <w:sz w:val="24"/>
          <w:szCs w:val="24"/>
        </w:rPr>
      </w:pPr>
      <w:r>
        <w:rPr>
          <w:rFonts w:hint="eastAsia" w:ascii="宋体" w:hAnsi="宋体" w:cs="宋体"/>
          <w:sz w:val="24"/>
          <w:szCs w:val="24"/>
        </w:rPr>
        <w:t>二、基本要求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pPr>
        <w:pStyle w:val="114"/>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pPr>
        <w:spacing w:line="420" w:lineRule="exact"/>
        <w:ind w:firstLine="480" w:firstLineChars="200"/>
        <w:rPr>
          <w:rFonts w:ascii="宋体" w:hAnsi="宋体" w:eastAsia="宋体" w:cs="Times New Roman"/>
          <w:sz w:val="24"/>
          <w:szCs w:val="24"/>
        </w:rPr>
      </w:pPr>
      <w:bookmarkStart w:id="34" w:name="_Hlk132112785"/>
      <w:r>
        <w:rPr>
          <w:rFonts w:hint="eastAsia" w:ascii="宋体" w:hAnsi="宋体" w:eastAsia="宋体" w:cs="Times New Roman"/>
          <w:sz w:val="24"/>
          <w:szCs w:val="24"/>
        </w:rPr>
        <w:t>测试系统能够实现车载网络自动化测试，投标方应根据自身汽车行业相关项目经验，推荐制定相关测试项目，开发相关测试脚本并能够执行自动化测试。其中CAN/LIN/CANFD网络测试系统能够覆盖招标方企业测试规范及控制器准入规范测试内容。以太网测试系统需满足国际通用标准、通用测试规范的测试项目覆盖。在此基础之上，投标方根据自身汽车行业测试经验，推荐规定数量条目的测试内容，买方确认。CAN/LIN/CANFD网络测试系统与以太网测试系统在部件级测试上相互独立，可以独立并行进行测试使用。</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在基本要求和执行标准基础上，本技术标书对所采购的货物的技术及使用等方面作出如下要求：</w:t>
      </w:r>
    </w:p>
    <w:p>
      <w:pPr>
        <w:pStyle w:val="6"/>
        <w:spacing w:before="0" w:after="0"/>
        <w:rPr>
          <w:rFonts w:ascii="宋体" w:hAnsi="宋体" w:eastAsia="宋体" w:cs="Times New Roman"/>
          <w:bCs/>
          <w:sz w:val="24"/>
          <w:szCs w:val="24"/>
        </w:rPr>
      </w:pPr>
      <w:r>
        <w:rPr>
          <w:rFonts w:hint="eastAsia" w:ascii="宋体" w:hAnsi="宋体" w:eastAsia="宋体" w:cs="Times New Roman"/>
          <w:bCs/>
          <w:sz w:val="24"/>
          <w:szCs w:val="24"/>
        </w:rPr>
        <w:t>1</w:t>
      </w:r>
      <w:r>
        <w:rPr>
          <w:rFonts w:ascii="宋体" w:hAnsi="宋体" w:eastAsia="宋体" w:cs="Times New Roman"/>
          <w:bCs/>
          <w:sz w:val="24"/>
          <w:szCs w:val="24"/>
        </w:rPr>
        <w:t>.CAN/LIN/CANFD</w:t>
      </w:r>
      <w:r>
        <w:rPr>
          <w:rFonts w:hint="eastAsia" w:ascii="宋体" w:hAnsi="宋体" w:eastAsia="宋体" w:cs="Times New Roman"/>
          <w:bCs/>
          <w:sz w:val="24"/>
          <w:szCs w:val="24"/>
        </w:rPr>
        <w:t>网络测试系统</w:t>
      </w:r>
    </w:p>
    <w:p>
      <w:pPr>
        <w:pStyle w:val="7"/>
        <w:spacing w:before="0" w:after="0"/>
        <w:rPr>
          <w:rFonts w:ascii="宋体" w:hAnsi="宋体"/>
          <w:b w:val="0"/>
          <w:bCs w:val="0"/>
          <w:sz w:val="24"/>
          <w:szCs w:val="24"/>
        </w:rPr>
      </w:pPr>
      <w:r>
        <w:rPr>
          <w:rFonts w:hint="eastAsia" w:ascii="宋体" w:hAnsi="宋体"/>
          <w:b w:val="0"/>
          <w:bCs w:val="0"/>
          <w:sz w:val="24"/>
          <w:szCs w:val="24"/>
        </w:rPr>
        <w:t>1.</w:t>
      </w:r>
      <w:r>
        <w:rPr>
          <w:rFonts w:ascii="宋体" w:hAnsi="宋体"/>
          <w:b w:val="0"/>
          <w:bCs w:val="0"/>
          <w:sz w:val="24"/>
          <w:szCs w:val="24"/>
        </w:rPr>
        <w:t>1</w:t>
      </w:r>
      <w:r>
        <w:rPr>
          <w:rFonts w:hint="eastAsia" w:ascii="宋体" w:hAnsi="宋体"/>
          <w:b w:val="0"/>
          <w:bCs w:val="0"/>
          <w:sz w:val="24"/>
          <w:szCs w:val="24"/>
        </w:rPr>
        <w:t>系统总体功能要求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）CAN/LIN/CANFD网络测试系统主体须采用标准19英寸机柜，具备汽车总线网络测试，故障模拟，网络数据监测，测试报告生成功能，主要对CAN、LIN、CANFD网络的相关通信协议进行测试验证，满足1</w:t>
      </w:r>
      <w:r>
        <w:rPr>
          <w:rFonts w:ascii="宋体" w:hAnsi="宋体" w:eastAsia="宋体" w:cs="Times New Roman"/>
          <w:sz w:val="24"/>
          <w:szCs w:val="24"/>
        </w:rPr>
        <w:t>2V</w:t>
      </w:r>
      <w:r>
        <w:rPr>
          <w:rFonts w:hint="eastAsia" w:ascii="宋体" w:hAnsi="宋体" w:eastAsia="宋体" w:cs="Times New Roman"/>
          <w:sz w:val="24"/>
          <w:szCs w:val="24"/>
        </w:rPr>
        <w:t>、2</w:t>
      </w:r>
      <w:r>
        <w:rPr>
          <w:rFonts w:ascii="宋体" w:hAnsi="宋体" w:eastAsia="宋体" w:cs="Times New Roman"/>
          <w:sz w:val="24"/>
          <w:szCs w:val="24"/>
        </w:rPr>
        <w:t>4V</w:t>
      </w:r>
      <w:r>
        <w:rPr>
          <w:rFonts w:hint="eastAsia" w:ascii="宋体" w:hAnsi="宋体" w:eastAsia="宋体" w:cs="Times New Roman"/>
          <w:sz w:val="24"/>
          <w:szCs w:val="24"/>
        </w:rPr>
        <w:t>、4</w:t>
      </w:r>
      <w:r>
        <w:rPr>
          <w:rFonts w:ascii="宋体" w:hAnsi="宋体" w:eastAsia="宋体" w:cs="Times New Roman"/>
          <w:sz w:val="24"/>
          <w:szCs w:val="24"/>
        </w:rPr>
        <w:t>8V</w:t>
      </w:r>
      <w:r>
        <w:rPr>
          <w:rFonts w:hint="eastAsia" w:ascii="宋体" w:hAnsi="宋体" w:eastAsia="宋体" w:cs="Times New Roman"/>
          <w:sz w:val="24"/>
          <w:szCs w:val="24"/>
        </w:rPr>
        <w:t>电气系统控制器测试需求。系统具有良好的扩展性，满足不同车型不同版本控制器切换的测试需求扩展，测试脚本可通过软件面板进行二次配置开发，方便进行延伸和变更。</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2）系统应包含但不限于如下测试功能：</w:t>
      </w:r>
    </w:p>
    <w:p>
      <w:pPr>
        <w:spacing w:line="420" w:lineRule="exact"/>
        <w:ind w:firstLine="420"/>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网络通信协议测试，包括物理层测试、数据链路层测试、交互层测试、应用层测试等；网络类型需满足CAN、LIN、CANFD等；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J1939</w:t>
      </w:r>
      <w:r>
        <w:rPr>
          <w:rFonts w:hint="eastAsia" w:ascii="宋体" w:hAnsi="宋体" w:eastAsia="宋体" w:cs="Times New Roman"/>
          <w:sz w:val="24"/>
          <w:szCs w:val="24"/>
        </w:rPr>
        <w:t>传输协议测试；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网络管理测试（AUTOSAR网络管理测试、间接网络管理测试、</w:t>
      </w:r>
      <w:r>
        <w:rPr>
          <w:rFonts w:ascii="宋体" w:hAnsi="宋体" w:eastAsia="宋体" w:cs="Times New Roman"/>
          <w:sz w:val="24"/>
          <w:szCs w:val="24"/>
        </w:rPr>
        <w:t>OSEK</w:t>
      </w:r>
      <w:r>
        <w:rPr>
          <w:rFonts w:hint="eastAsia" w:ascii="宋体" w:hAnsi="宋体" w:eastAsia="宋体" w:cs="Times New Roman"/>
          <w:sz w:val="24"/>
          <w:szCs w:val="24"/>
        </w:rPr>
        <w:t>网络管理测试）；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网络通信矩阵一致性测试，网络及协议类型需满足CAN、LIN、CANFD、J1939；</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UDS</w:t>
      </w:r>
      <w:r>
        <w:rPr>
          <w:rFonts w:hint="eastAsia" w:ascii="宋体" w:hAnsi="宋体" w:eastAsia="宋体" w:cs="Times New Roman"/>
          <w:sz w:val="24"/>
          <w:szCs w:val="24"/>
        </w:rPr>
        <w:t>诊断协议测试（</w:t>
      </w:r>
      <w:r>
        <w:rPr>
          <w:rFonts w:ascii="宋体" w:hAnsi="宋体" w:eastAsia="宋体" w:cs="Times New Roman"/>
          <w:sz w:val="24"/>
          <w:szCs w:val="24"/>
        </w:rPr>
        <w:t>网络类型需满足CAN、CANFD</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Bootloader</w:t>
      </w:r>
      <w:r>
        <w:rPr>
          <w:rFonts w:hint="eastAsia" w:ascii="宋体" w:hAnsi="宋体" w:eastAsia="宋体" w:cs="Times New Roman"/>
          <w:sz w:val="24"/>
          <w:szCs w:val="24"/>
        </w:rPr>
        <w:t>在线刷写测试（</w:t>
      </w:r>
      <w:r>
        <w:rPr>
          <w:rFonts w:ascii="宋体" w:hAnsi="宋体" w:eastAsia="宋体" w:cs="Times New Roman"/>
          <w:sz w:val="24"/>
          <w:szCs w:val="24"/>
        </w:rPr>
        <w:t>网络类型需满足CAN、CANFD</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网关路由功能测试（</w:t>
      </w:r>
      <w:r>
        <w:rPr>
          <w:rFonts w:ascii="宋体" w:hAnsi="宋体" w:eastAsia="宋体" w:cs="Times New Roman"/>
          <w:sz w:val="24"/>
          <w:szCs w:val="24"/>
        </w:rPr>
        <w:t>网络类型需满足CAN、CANFD</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网络基本通信系统级测试。</w:t>
      </w:r>
    </w:p>
    <w:p>
      <w:pPr>
        <w:pStyle w:val="7"/>
        <w:spacing w:before="0" w:after="0"/>
        <w:rPr>
          <w:rFonts w:ascii="宋体" w:hAnsi="宋体"/>
          <w:b w:val="0"/>
          <w:bCs w:val="0"/>
          <w:sz w:val="24"/>
          <w:szCs w:val="24"/>
        </w:rPr>
      </w:pPr>
      <w:r>
        <w:rPr>
          <w:rFonts w:ascii="宋体" w:hAnsi="宋体"/>
          <w:b w:val="0"/>
          <w:bCs w:val="0"/>
          <w:sz w:val="24"/>
          <w:szCs w:val="24"/>
        </w:rPr>
        <w:t>1.</w:t>
      </w:r>
      <w:r>
        <w:rPr>
          <w:rFonts w:hint="eastAsia" w:ascii="宋体" w:hAnsi="宋体"/>
          <w:b w:val="0"/>
          <w:bCs w:val="0"/>
          <w:sz w:val="24"/>
          <w:szCs w:val="24"/>
        </w:rPr>
        <w:t>2测试系统硬件要求</w:t>
      </w:r>
    </w:p>
    <w:p>
      <w:pPr>
        <w:pStyle w:val="8"/>
        <w:spacing w:before="0" w:after="0"/>
        <w:rPr>
          <w:rFonts w:ascii="宋体" w:hAnsi="宋体" w:eastAsia="宋体"/>
          <w:b w:val="0"/>
          <w:bCs w:val="0"/>
        </w:rPr>
      </w:pPr>
      <w:r>
        <w:rPr>
          <w:rFonts w:hint="eastAsia" w:ascii="宋体" w:hAnsi="宋体" w:eastAsia="宋体"/>
          <w:b w:val="0"/>
          <w:bCs w:val="0"/>
        </w:rPr>
        <w:t>1</w:t>
      </w:r>
      <w:r>
        <w:rPr>
          <w:rFonts w:ascii="宋体" w:hAnsi="宋体" w:eastAsia="宋体"/>
          <w:b w:val="0"/>
          <w:bCs w:val="0"/>
        </w:rPr>
        <w:t>.2.1</w:t>
      </w:r>
      <w:r>
        <w:rPr>
          <w:rFonts w:hint="eastAsia" w:ascii="宋体" w:hAnsi="宋体" w:eastAsia="宋体"/>
          <w:b w:val="0"/>
          <w:bCs w:val="0"/>
        </w:rPr>
        <w:t>总体要求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1）系统各测试硬件独立安装（示波器、总线接口卡、总线干扰仪等），方便拆卸，可支持手动、自动测试。</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）系统硬件可通过测试软件进行手动控制操作，测试软件应包含独立的控制面板，对机柜上的各种硬件进行控制操作，便于后续的调试过程应用。</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3）硬件须具备电源管理模块，实现用电分配、控制、保护等功能，具备有独立开关实现启动和关闭，必须配置急停开关等保护操作按钮，具备防止突然断电或短路等而损坏设备的自我保护能力。</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4）硬件须具备电流采集模块，实现静态电流和正常电流的采集功能。</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5）硬件须具备信号（包括总线信号）测量端口，便于对每个信号源进行人为检测和校正。</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6）硬件须具备测试所需的网络接口，必须支持网络类型有LIN、CAN、CANFD，且通道数量满足测试要求。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7）硬件须采用专业的连接器与被测控制器相连接，不使用其他工具即可完成连接，并具备通用性，易操作性，任何控制器都可通过软件的配置实现接口类型的匹配；接口资源的分配应具有合理性。</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8）系统硬件采用合理化线束布置，满足控制器的电气特性要求，走线安全、合理、美观、清晰，机柜内部线束用不同颜色来区分不同类型的信号，并在线束端部做线号标记。</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9）系统采用标准</w:t>
      </w:r>
      <w:r>
        <w:rPr>
          <w:rFonts w:ascii="宋体" w:hAnsi="宋体" w:eastAsia="宋体" w:cs="Times New Roman"/>
          <w:sz w:val="24"/>
          <w:szCs w:val="24"/>
        </w:rPr>
        <w:t>19</w:t>
      </w:r>
      <w:r>
        <w:rPr>
          <w:rFonts w:hint="eastAsia" w:ascii="宋体" w:hAnsi="宋体" w:eastAsia="宋体" w:cs="Times New Roman"/>
          <w:sz w:val="24"/>
          <w:szCs w:val="24"/>
        </w:rPr>
        <w:t>英寸机柜，采用立式安装方式，系统所有测试组件集成于此机柜。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10）设备应具有高鲁棒性，支持24小时以上连续运行及测试数据记录功能；系统机柜需具有良好的散热，能够保障系统的长效可靠运行。</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11）对硬件板卡的软件控制精度应满足系统测试要求。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12）支持多路电源输出切换，可以模拟如KL30、KL15、GND等</w:t>
      </w:r>
      <w:r>
        <w:rPr>
          <w:rFonts w:ascii="宋体" w:hAnsi="宋体" w:eastAsia="宋体" w:cs="Times New Roman"/>
          <w:sz w:val="24"/>
          <w:szCs w:val="24"/>
        </w:rPr>
        <w:t>DUT</w:t>
      </w:r>
      <w:r>
        <w:rPr>
          <w:rFonts w:hint="eastAsia" w:ascii="宋体" w:hAnsi="宋体" w:eastAsia="宋体" w:cs="Times New Roman"/>
          <w:sz w:val="24"/>
          <w:szCs w:val="24"/>
        </w:rPr>
        <w:t>所需的电源，同时监控电压和电流。</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13）硬件具有良好的扩展性，适用于不同车型不同控制器的版本变更，可通过软件进行二次配置，进行同一平台延伸或不同平台的变更。</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w:t>
      </w:r>
      <w:r>
        <w:rPr>
          <w:rFonts w:hint="eastAsia" w:ascii="宋体" w:hAnsi="宋体" w:eastAsia="宋体" w:cs="Times New Roman"/>
          <w:sz w:val="24"/>
          <w:szCs w:val="24"/>
        </w:rPr>
        <w:t>）系统机柜底部带有滚轮，且滚轮带有锁止装置，可以移动与锁止。</w:t>
      </w:r>
    </w:p>
    <w:p>
      <w:pPr>
        <w:pStyle w:val="8"/>
        <w:spacing w:before="0" w:after="0"/>
        <w:rPr>
          <w:rFonts w:ascii="宋体" w:hAnsi="宋体" w:eastAsia="宋体"/>
          <w:b w:val="0"/>
          <w:bCs w:val="0"/>
        </w:rPr>
      </w:pPr>
      <w:r>
        <w:rPr>
          <w:rFonts w:hint="eastAsia" w:ascii="宋体" w:hAnsi="宋体" w:eastAsia="宋体"/>
          <w:b w:val="0"/>
          <w:bCs w:val="0"/>
        </w:rPr>
        <w:t>1</w:t>
      </w:r>
      <w:r>
        <w:rPr>
          <w:rFonts w:ascii="宋体" w:hAnsi="宋体" w:eastAsia="宋体"/>
          <w:b w:val="0"/>
          <w:bCs w:val="0"/>
        </w:rPr>
        <w:t>.2.2</w:t>
      </w:r>
      <w:r>
        <w:rPr>
          <w:rFonts w:hint="eastAsia" w:ascii="宋体" w:hAnsi="宋体" w:eastAsia="宋体"/>
          <w:b w:val="0"/>
          <w:bCs w:val="0"/>
        </w:rPr>
        <w:t>总线示波器要求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选用进口一线品牌，如Keysight、</w:t>
      </w:r>
      <w:bookmarkStart w:id="35" w:name="_Hlk131671914"/>
      <w:r>
        <w:rPr>
          <w:rFonts w:ascii="宋体" w:hAnsi="宋体" w:eastAsia="宋体" w:cs="Times New Roman"/>
          <w:sz w:val="24"/>
          <w:szCs w:val="24"/>
        </w:rPr>
        <w:t>Rohde&amp;Schwarz</w:t>
      </w:r>
      <w:bookmarkEnd w:id="35"/>
      <w:r>
        <w:rPr>
          <w:rFonts w:hint="eastAsia" w:ascii="宋体" w:hAnsi="宋体" w:eastAsia="宋体" w:cs="Times New Roman"/>
          <w:sz w:val="24"/>
          <w:szCs w:val="24"/>
        </w:rPr>
        <w:t>、</w:t>
      </w:r>
      <w:r>
        <w:rPr>
          <w:rFonts w:ascii="宋体" w:hAnsi="宋体" w:eastAsia="宋体" w:cs="Times New Roman"/>
          <w:sz w:val="24"/>
          <w:szCs w:val="24"/>
        </w:rPr>
        <w:t>Teledyne LeCroy</w:t>
      </w:r>
      <w:r>
        <w:rPr>
          <w:rFonts w:hint="eastAsia" w:ascii="宋体" w:hAnsi="宋体" w:eastAsia="宋体" w:cs="Times New Roman"/>
          <w:sz w:val="24"/>
          <w:szCs w:val="24"/>
        </w:rPr>
        <w:t>。满足</w:t>
      </w:r>
      <w:r>
        <w:rPr>
          <w:rFonts w:hint="eastAsia" w:ascii="Times New Roman" w:hAnsi="Times New Roman" w:eastAsia="宋体" w:cs="Times New Roman"/>
          <w:sz w:val="24"/>
          <w:szCs w:val="24"/>
        </w:rPr>
        <w:t>总线输出特性的捕捉、测量及分析功能，</w:t>
      </w:r>
      <w:r>
        <w:rPr>
          <w:rFonts w:hint="eastAsia" w:ascii="宋体" w:hAnsi="宋体" w:eastAsia="宋体" w:cs="Times New Roman"/>
          <w:sz w:val="24"/>
          <w:szCs w:val="24"/>
        </w:rPr>
        <w:t>具备CANFD/CAN/LIN信号解码和分析能力，支持数据采集、条件触发、协议错误解析等功能。具有</w:t>
      </w:r>
      <w:r>
        <w:rPr>
          <w:rFonts w:ascii="宋体" w:hAnsi="宋体" w:eastAsia="宋体" w:cs="Times New Roman"/>
          <w:sz w:val="24"/>
          <w:szCs w:val="24"/>
        </w:rPr>
        <w:t>USB/Ethernet</w:t>
      </w:r>
      <w:r>
        <w:rPr>
          <w:rFonts w:hint="eastAsia" w:ascii="宋体" w:hAnsi="宋体" w:eastAsia="宋体" w:cs="Times New Roman"/>
          <w:sz w:val="24"/>
          <w:szCs w:val="24"/>
        </w:rPr>
        <w:t>等程控接口。示波器可通过软件语言脚本直接调用。</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通道数：不少于</w:t>
      </w:r>
      <w:r>
        <w:rPr>
          <w:rFonts w:ascii="宋体" w:hAnsi="宋体" w:eastAsia="宋体" w:cs="Times New Roman"/>
          <w:sz w:val="24"/>
          <w:szCs w:val="24"/>
        </w:rPr>
        <w:t>4</w:t>
      </w:r>
      <w:r>
        <w:rPr>
          <w:rFonts w:hint="eastAsia" w:ascii="宋体" w:hAnsi="宋体" w:eastAsia="宋体" w:cs="Times New Roman"/>
          <w:sz w:val="24"/>
          <w:szCs w:val="24"/>
        </w:rPr>
        <w:t>路模拟采集通道；</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带宽：≥</w:t>
      </w:r>
      <w:r>
        <w:rPr>
          <w:rFonts w:ascii="宋体" w:hAnsi="宋体" w:eastAsia="宋体" w:cs="Times New Roman"/>
          <w:sz w:val="24"/>
          <w:szCs w:val="24"/>
        </w:rPr>
        <w:t>350MHz</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采样率：≥</w:t>
      </w:r>
      <w:r>
        <w:rPr>
          <w:rFonts w:ascii="宋体" w:hAnsi="宋体" w:eastAsia="宋体" w:cs="Times New Roman"/>
          <w:sz w:val="24"/>
          <w:szCs w:val="24"/>
        </w:rPr>
        <w:t>5GS</w:t>
      </w:r>
      <w:r>
        <w:rPr>
          <w:rFonts w:hint="eastAsia" w:ascii="宋体" w:hAnsi="宋体" w:eastAsia="宋体" w:cs="Times New Roman"/>
          <w:sz w:val="24"/>
          <w:szCs w:val="24"/>
        </w:rPr>
        <w:t>ps；</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存储深度：≥</w:t>
      </w:r>
      <w:r>
        <w:rPr>
          <w:rFonts w:ascii="宋体" w:hAnsi="宋体" w:eastAsia="宋体" w:cs="Times New Roman"/>
          <w:sz w:val="24"/>
          <w:szCs w:val="24"/>
        </w:rPr>
        <w:t>4Mpts</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b/>
          <w:bCs/>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触摸屏显示。</w:t>
      </w:r>
    </w:p>
    <w:p>
      <w:pPr>
        <w:keepNext/>
        <w:keepLines/>
        <w:spacing w:line="376" w:lineRule="auto"/>
        <w:outlineLvl w:val="5"/>
        <w:rPr>
          <w:rFonts w:ascii="宋体" w:hAnsi="宋体" w:eastAsia="宋体" w:cs="Times New Roman"/>
          <w:sz w:val="24"/>
          <w:szCs w:val="24"/>
        </w:rPr>
      </w:pPr>
      <w:r>
        <w:rPr>
          <w:rFonts w:ascii="宋体" w:hAnsi="宋体" w:eastAsia="宋体" w:cs="Times New Roman"/>
          <w:sz w:val="24"/>
          <w:szCs w:val="24"/>
        </w:rPr>
        <w:t xml:space="preserve">1.2.3 </w:t>
      </w:r>
      <w:r>
        <w:rPr>
          <w:rFonts w:hint="eastAsia" w:ascii="宋体" w:hAnsi="宋体" w:eastAsia="宋体" w:cs="Times New Roman"/>
          <w:sz w:val="24"/>
          <w:szCs w:val="24"/>
        </w:rPr>
        <w:t>CAN/CANFD/LIN总线干扰设备要求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支持对CAN/CANFD/LIN总线施加各种干扰逻辑以验证</w:t>
      </w:r>
      <w:r>
        <w:rPr>
          <w:rFonts w:ascii="宋体" w:hAnsi="宋体" w:eastAsia="宋体" w:cs="Times New Roman"/>
          <w:sz w:val="24"/>
          <w:szCs w:val="24"/>
        </w:rPr>
        <w:t>DUT</w:t>
      </w:r>
      <w:r>
        <w:rPr>
          <w:rFonts w:hint="eastAsia" w:ascii="宋体" w:hAnsi="宋体" w:eastAsia="宋体" w:cs="Times New Roman"/>
          <w:sz w:val="24"/>
          <w:szCs w:val="24"/>
        </w:rPr>
        <w:t>以及CAN/CANFD/LIN总线的抗干扰能力。能够实现CAN/CANFD总线Busoff测试、CAN/CANFD总线采样点测试、CAN/CANFD/LIN容错性测试等功能；可通过脚本语言编程实现各种条件的触发；包含程序调用接口，能够进行远程控制；对CAN/CANFD/LIN总线干扰类型支持数字干扰（位出错的模拟，可干扰到协议的最小时间单元）和模拟干扰（线</w:t>
      </w:r>
      <w:r>
        <w:rPr>
          <w:rFonts w:ascii="宋体" w:hAnsi="宋体" w:eastAsia="宋体" w:cs="Times New Roman"/>
          <w:sz w:val="24"/>
          <w:szCs w:val="24"/>
        </w:rPr>
        <w:t>/</w:t>
      </w:r>
      <w:r>
        <w:rPr>
          <w:rFonts w:hint="eastAsia" w:ascii="宋体" w:hAnsi="宋体" w:eastAsia="宋体" w:cs="Times New Roman"/>
          <w:sz w:val="24"/>
          <w:szCs w:val="24"/>
        </w:rPr>
        <w:t>线短路，线</w:t>
      </w:r>
      <w:r>
        <w:rPr>
          <w:rFonts w:ascii="宋体" w:hAnsi="宋体" w:eastAsia="宋体" w:cs="Times New Roman"/>
          <w:sz w:val="24"/>
          <w:szCs w:val="24"/>
        </w:rPr>
        <w:t>/</w:t>
      </w:r>
      <w:r>
        <w:rPr>
          <w:rFonts w:hint="eastAsia" w:ascii="宋体" w:hAnsi="宋体" w:eastAsia="宋体" w:cs="Times New Roman"/>
          <w:sz w:val="24"/>
          <w:szCs w:val="24"/>
        </w:rPr>
        <w:t>供给电压短路，断路）两种干扰方式。</w:t>
      </w:r>
    </w:p>
    <w:p>
      <w:pPr>
        <w:keepNext/>
        <w:keepLines/>
        <w:spacing w:line="376" w:lineRule="auto"/>
        <w:outlineLvl w:val="5"/>
        <w:rPr>
          <w:rFonts w:ascii="宋体" w:hAnsi="宋体" w:eastAsia="宋体" w:cs="Times New Roman"/>
          <w:sz w:val="24"/>
          <w:szCs w:val="24"/>
        </w:rPr>
      </w:pPr>
      <w:r>
        <w:rPr>
          <w:rFonts w:ascii="宋体" w:hAnsi="宋体" w:eastAsia="宋体" w:cs="Times New Roman"/>
          <w:sz w:val="24"/>
          <w:szCs w:val="24"/>
        </w:rPr>
        <w:t>1.2.4</w:t>
      </w:r>
      <w:r>
        <w:rPr>
          <w:rFonts w:hint="eastAsia" w:ascii="宋体" w:hAnsi="宋体" w:eastAsia="宋体" w:cs="Times New Roman"/>
          <w:sz w:val="24"/>
          <w:szCs w:val="24"/>
        </w:rPr>
        <w:t>程控万用表要求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选用进口一线品牌，</w:t>
      </w:r>
      <w:bookmarkStart w:id="36" w:name="_Hlk131684170"/>
      <w:r>
        <w:rPr>
          <w:rFonts w:hint="eastAsia" w:ascii="宋体" w:hAnsi="宋体" w:eastAsia="宋体" w:cs="Times New Roman"/>
          <w:sz w:val="24"/>
          <w:szCs w:val="24"/>
        </w:rPr>
        <w:t>如</w:t>
      </w:r>
      <w:r>
        <w:rPr>
          <w:rFonts w:ascii="宋体" w:hAnsi="宋体" w:eastAsia="宋体" w:cs="Times New Roman"/>
          <w:sz w:val="24"/>
          <w:szCs w:val="24"/>
        </w:rPr>
        <w:t>K</w:t>
      </w:r>
      <w:r>
        <w:rPr>
          <w:rFonts w:hint="eastAsia" w:ascii="宋体" w:hAnsi="宋体" w:eastAsia="宋体" w:cs="Times New Roman"/>
          <w:sz w:val="24"/>
          <w:szCs w:val="24"/>
        </w:rPr>
        <w:t>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FLUKE</w:t>
      </w:r>
      <w:bookmarkEnd w:id="36"/>
      <w:r>
        <w:rPr>
          <w:rFonts w:hint="eastAsia" w:ascii="宋体" w:hAnsi="宋体" w:eastAsia="宋体" w:cs="Times New Roman"/>
          <w:sz w:val="24"/>
          <w:szCs w:val="24"/>
        </w:rPr>
        <w:t>，满足系统电压、电流、电阻测试要求，具备</w:t>
      </w:r>
      <w:r>
        <w:rPr>
          <w:rFonts w:ascii="宋体" w:hAnsi="宋体" w:eastAsia="宋体" w:cs="Times New Roman"/>
          <w:sz w:val="24"/>
          <w:szCs w:val="24"/>
        </w:rPr>
        <w:t>USB/GPIB/Ethernet</w:t>
      </w:r>
      <w:r>
        <w:rPr>
          <w:rFonts w:hint="eastAsia" w:ascii="宋体" w:hAnsi="宋体" w:eastAsia="宋体" w:cs="Times New Roman"/>
          <w:sz w:val="24"/>
          <w:szCs w:val="24"/>
        </w:rPr>
        <w:t>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分辨率：不低于</w:t>
      </w:r>
      <w:r>
        <w:rPr>
          <w:rFonts w:ascii="宋体" w:hAnsi="宋体" w:eastAsia="宋体" w:cs="Times New Roman"/>
          <w:sz w:val="24"/>
          <w:szCs w:val="24"/>
        </w:rPr>
        <w:t>5</w:t>
      </w:r>
      <w:r>
        <w:rPr>
          <w:rFonts w:hint="eastAsia" w:ascii="宋体" w:hAnsi="宋体" w:eastAsia="宋体" w:cs="Times New Roman"/>
          <w:sz w:val="24"/>
          <w:szCs w:val="24"/>
        </w:rPr>
        <w:t>位半分辨率；</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直流电压测量范围：</w:t>
      </w:r>
      <w:r>
        <w:rPr>
          <w:rFonts w:ascii="宋体" w:hAnsi="宋体" w:eastAsia="宋体" w:cs="Times New Roman"/>
          <w:sz w:val="24"/>
          <w:szCs w:val="24"/>
        </w:rPr>
        <w:t>0V</w:t>
      </w:r>
      <w:r>
        <w:rPr>
          <w:rFonts w:hint="eastAsia" w:ascii="宋体" w:hAnsi="宋体" w:eastAsia="宋体" w:cs="Times New Roman"/>
          <w:sz w:val="24"/>
          <w:szCs w:val="24"/>
        </w:rPr>
        <w:t>～</w:t>
      </w:r>
      <w:r>
        <w:rPr>
          <w:rFonts w:ascii="宋体" w:hAnsi="宋体" w:eastAsia="宋体" w:cs="Times New Roman"/>
          <w:sz w:val="24"/>
          <w:szCs w:val="24"/>
        </w:rPr>
        <w:t>1000V</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直流电流测量范围：</w:t>
      </w:r>
      <w:r>
        <w:rPr>
          <w:rFonts w:ascii="宋体" w:hAnsi="宋体" w:eastAsia="宋体" w:cs="Times New Roman"/>
          <w:sz w:val="24"/>
          <w:szCs w:val="24"/>
        </w:rPr>
        <w:t>0A</w:t>
      </w:r>
      <w:r>
        <w:rPr>
          <w:rFonts w:hint="eastAsia" w:ascii="宋体" w:hAnsi="宋体" w:eastAsia="宋体" w:cs="Times New Roman"/>
          <w:sz w:val="24"/>
          <w:szCs w:val="24"/>
        </w:rPr>
        <w:t>～</w:t>
      </w:r>
      <w:r>
        <w:rPr>
          <w:rFonts w:ascii="宋体" w:hAnsi="宋体" w:eastAsia="宋体" w:cs="Times New Roman"/>
          <w:sz w:val="24"/>
          <w:szCs w:val="24"/>
        </w:rPr>
        <w:t>10A</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电阻测量范围：</w:t>
      </w:r>
      <w:r>
        <w:rPr>
          <w:rFonts w:ascii="宋体" w:hAnsi="宋体" w:eastAsia="宋体" w:cs="Times New Roman"/>
          <w:sz w:val="24"/>
          <w:szCs w:val="24"/>
        </w:rPr>
        <w:t>0Ω</w:t>
      </w:r>
      <w:r>
        <w:rPr>
          <w:rFonts w:hint="eastAsia" w:ascii="宋体" w:hAnsi="宋体" w:eastAsia="宋体" w:cs="Times New Roman"/>
          <w:sz w:val="24"/>
          <w:szCs w:val="24"/>
        </w:rPr>
        <w:t>～</w:t>
      </w:r>
      <w:r>
        <w:rPr>
          <w:rFonts w:ascii="宋体" w:hAnsi="宋体" w:eastAsia="宋体" w:cs="Times New Roman"/>
          <w:sz w:val="24"/>
          <w:szCs w:val="24"/>
        </w:rPr>
        <w:t>100MΩ</w:t>
      </w:r>
      <w:r>
        <w:rPr>
          <w:rFonts w:hint="eastAsia" w:ascii="宋体" w:hAnsi="宋体" w:eastAsia="宋体" w:cs="Times New Roman"/>
          <w:sz w:val="24"/>
          <w:szCs w:val="24"/>
        </w:rPr>
        <w:t>。</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.2.5</w:t>
      </w:r>
      <w:r>
        <w:rPr>
          <w:rFonts w:hint="eastAsia" w:ascii="宋体" w:hAnsi="宋体" w:eastAsia="宋体" w:cs="Times New Roman"/>
          <w:sz w:val="24"/>
          <w:szCs w:val="24"/>
        </w:rPr>
        <w:t>测试板卡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系统所需的测试板卡模块化，具备在被测样件端和测试设备端匹配终端电阻的功能；具备总线模拟电路包括短路、短路故障注入功能；具备多路电源控制功能，能够实现KL30、KL15、ACC等电源控制；具备系统测试所需的控制外围设备切入和切出功能、外围电路匹配功能、可编程控制功能；DO接口数量满足测试系统要求的同时提供一定数量的拓展预留。</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.2.6</w:t>
      </w:r>
      <w:r>
        <w:rPr>
          <w:rFonts w:hint="eastAsia" w:ascii="宋体" w:hAnsi="宋体" w:eastAsia="宋体" w:cs="Times New Roman"/>
          <w:sz w:val="24"/>
          <w:szCs w:val="24"/>
        </w:rPr>
        <w:t>程控电源要求</w:t>
      </w:r>
    </w:p>
    <w:p>
      <w:pPr>
        <w:spacing w:line="420" w:lineRule="exact"/>
        <w:ind w:firstLine="480" w:firstLineChars="200"/>
        <w:rPr>
          <w:rFonts w:ascii="宋体" w:hAnsi="宋体" w:eastAsia="宋体" w:cs="Times New Roman"/>
          <w:sz w:val="24"/>
          <w:szCs w:val="24"/>
        </w:rPr>
      </w:pPr>
      <w:bookmarkStart w:id="37" w:name="_Hlk131767220"/>
      <w:r>
        <w:rPr>
          <w:rFonts w:hint="eastAsia" w:ascii="宋体" w:hAnsi="宋体" w:eastAsia="宋体" w:cs="Times New Roman"/>
          <w:sz w:val="24"/>
          <w:szCs w:val="24"/>
        </w:rPr>
        <w:t>选用进口一线品牌，如</w:t>
      </w:r>
      <w:r>
        <w:rPr>
          <w:rFonts w:ascii="宋体" w:hAnsi="宋体" w:eastAsia="宋体" w:cs="Times New Roman"/>
          <w:sz w:val="24"/>
          <w:szCs w:val="24"/>
        </w:rPr>
        <w:t>K</w:t>
      </w:r>
      <w:r>
        <w:rPr>
          <w:rFonts w:hint="eastAsia" w:ascii="宋体" w:hAnsi="宋体" w:eastAsia="宋体" w:cs="Times New Roman"/>
          <w:sz w:val="24"/>
          <w:szCs w:val="24"/>
        </w:rPr>
        <w:t>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Elektro-Automatik</w:t>
      </w:r>
      <w:r>
        <w:rPr>
          <w:rFonts w:hint="eastAsia" w:ascii="宋体" w:hAnsi="宋体" w:eastAsia="宋体" w:cs="Times New Roman"/>
          <w:sz w:val="24"/>
          <w:szCs w:val="24"/>
        </w:rPr>
        <w:t>。可同时进行程控和手动调节电压值，具备USB/GPIB/Ethernet程控接口。</w:t>
      </w:r>
      <w:bookmarkEnd w:id="37"/>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输出电压：≥</w:t>
      </w:r>
      <w:r>
        <w:rPr>
          <w:rFonts w:ascii="宋体" w:hAnsi="宋体" w:eastAsia="宋体" w:cs="Times New Roman"/>
          <w:sz w:val="24"/>
          <w:szCs w:val="24"/>
        </w:rPr>
        <w:t>6</w:t>
      </w:r>
      <w:r>
        <w:rPr>
          <w:rFonts w:hint="eastAsia" w:ascii="宋体" w:hAnsi="宋体" w:eastAsia="宋体" w:cs="Times New Roman"/>
          <w:sz w:val="24"/>
          <w:szCs w:val="24"/>
        </w:rPr>
        <w:t>0V；</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输出电流：≥</w:t>
      </w:r>
      <w:r>
        <w:rPr>
          <w:rFonts w:ascii="宋体" w:hAnsi="宋体" w:eastAsia="宋体" w:cs="Times New Roman"/>
          <w:sz w:val="24"/>
          <w:szCs w:val="24"/>
        </w:rPr>
        <w:t>2</w:t>
      </w:r>
      <w:r>
        <w:rPr>
          <w:rFonts w:hint="eastAsia" w:ascii="宋体" w:hAnsi="宋体" w:eastAsia="宋体" w:cs="Times New Roman"/>
          <w:sz w:val="24"/>
          <w:szCs w:val="24"/>
        </w:rPr>
        <w:t>0A；</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输出功率：≥</w:t>
      </w:r>
      <w:r>
        <w:rPr>
          <w:rFonts w:ascii="宋体" w:hAnsi="宋体" w:eastAsia="宋体" w:cs="Times New Roman"/>
          <w:sz w:val="24"/>
          <w:szCs w:val="24"/>
        </w:rPr>
        <w:t>12</w:t>
      </w:r>
      <w:r>
        <w:rPr>
          <w:rFonts w:hint="eastAsia" w:ascii="宋体" w:hAnsi="宋体" w:eastAsia="宋体" w:cs="Times New Roman"/>
          <w:sz w:val="24"/>
          <w:szCs w:val="24"/>
        </w:rPr>
        <w:t>00W；</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电压精度：不低于0.05%；</w:t>
      </w:r>
    </w:p>
    <w:p>
      <w:pPr>
        <w:spacing w:line="420" w:lineRule="exact"/>
        <w:ind w:firstLine="480" w:firstLineChars="200"/>
        <w:rPr>
          <w:rFonts w:ascii="宋体" w:hAnsi="宋体" w:eastAsia="宋体" w:cs="Times New Roman"/>
          <w:b/>
          <w:bCs/>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电流精度：不低于0.1%。</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.2.7</w:t>
      </w:r>
      <w:r>
        <w:rPr>
          <w:rFonts w:hint="eastAsia" w:ascii="宋体" w:hAnsi="宋体" w:eastAsia="宋体" w:cs="Times New Roman"/>
          <w:sz w:val="24"/>
          <w:szCs w:val="24"/>
        </w:rPr>
        <w:t>四象限电源（地飘电源）要求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选用进口一线品牌，如</w:t>
      </w:r>
      <w:r>
        <w:rPr>
          <w:rFonts w:ascii="宋体" w:hAnsi="宋体" w:eastAsia="宋体" w:cs="Times New Roman"/>
          <w:sz w:val="24"/>
          <w:szCs w:val="24"/>
        </w:rPr>
        <w:t>K</w:t>
      </w:r>
      <w:r>
        <w:rPr>
          <w:rFonts w:hint="eastAsia" w:ascii="宋体" w:hAnsi="宋体" w:eastAsia="宋体" w:cs="Times New Roman"/>
          <w:sz w:val="24"/>
          <w:szCs w:val="24"/>
        </w:rPr>
        <w:t>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Elektro-Automatik</w:t>
      </w:r>
      <w:r>
        <w:rPr>
          <w:rFonts w:hint="eastAsia" w:ascii="宋体" w:hAnsi="宋体" w:eastAsia="宋体" w:cs="Times New Roman"/>
          <w:sz w:val="24"/>
          <w:szCs w:val="24"/>
        </w:rPr>
        <w:t>。可为独立电源，也可为程控电源中的一个模块。可同时进行程控和手动调节电压值，具备USB/GPIB/Ethernet程控接口。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输出电压范围：≥±20V；</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输出电流范围：≥3A；</w:t>
      </w:r>
    </w:p>
    <w:p>
      <w:pPr>
        <w:spacing w:line="420" w:lineRule="exact"/>
        <w:ind w:firstLine="480" w:firstLineChars="200"/>
        <w:rPr>
          <w:rFonts w:ascii="宋体" w:hAnsi="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输出功率范围：≥</w:t>
      </w:r>
      <w:r>
        <w:rPr>
          <w:rFonts w:ascii="宋体" w:hAnsi="宋体" w:eastAsia="宋体" w:cs="Times New Roman"/>
          <w:sz w:val="24"/>
          <w:szCs w:val="24"/>
        </w:rPr>
        <w:t>150</w:t>
      </w:r>
      <w:r>
        <w:rPr>
          <w:rFonts w:hint="eastAsia" w:ascii="宋体" w:hAnsi="宋体" w:eastAsia="宋体" w:cs="Times New Roman"/>
          <w:sz w:val="24"/>
          <w:szCs w:val="24"/>
        </w:rPr>
        <w:t>W；</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电压精度：不低于0.05%；</w:t>
      </w:r>
    </w:p>
    <w:p>
      <w:pPr>
        <w:spacing w:line="420" w:lineRule="exact"/>
        <w:ind w:firstLine="480" w:firstLineChars="200"/>
        <w:rPr>
          <w:rFonts w:ascii="宋体" w:hAnsi="宋体" w:eastAsia="宋体" w:cs="Times New Roman"/>
          <w:b/>
          <w:bCs/>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电流精度：不低于0.1%。</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.2.8</w:t>
      </w:r>
      <w:r>
        <w:rPr>
          <w:rFonts w:hint="eastAsia" w:ascii="宋体" w:hAnsi="宋体" w:eastAsia="宋体" w:cs="Times New Roman"/>
          <w:sz w:val="24"/>
          <w:szCs w:val="24"/>
        </w:rPr>
        <w:t>总线接口卡要求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能够通过电脑与被测对象之间的通信实现基于上位机测试软件测试脚本的数据链路层测试、网络管理测试、刷写测试、路由测试等内容，总线网络测试接口卡硬件参数满足：</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不少于</w:t>
      </w:r>
      <w:r>
        <w:rPr>
          <w:rFonts w:ascii="宋体" w:hAnsi="宋体" w:eastAsia="宋体" w:cs="Times New Roman"/>
          <w:sz w:val="24"/>
          <w:szCs w:val="24"/>
        </w:rPr>
        <w:t>8</w:t>
      </w:r>
      <w:r>
        <w:rPr>
          <w:rFonts w:hint="eastAsia" w:ascii="宋体" w:hAnsi="宋体" w:eastAsia="宋体" w:cs="Times New Roman"/>
          <w:sz w:val="24"/>
          <w:szCs w:val="24"/>
        </w:rPr>
        <w:t>路CAN</w:t>
      </w:r>
      <w:r>
        <w:rPr>
          <w:rFonts w:ascii="宋体" w:hAnsi="宋体" w:eastAsia="宋体" w:cs="Times New Roman"/>
          <w:sz w:val="24"/>
          <w:szCs w:val="24"/>
        </w:rPr>
        <w:t>/</w:t>
      </w:r>
      <w:r>
        <w:rPr>
          <w:rFonts w:hint="eastAsia" w:ascii="宋体" w:hAnsi="宋体" w:eastAsia="宋体" w:cs="Times New Roman"/>
          <w:sz w:val="24"/>
          <w:szCs w:val="24"/>
        </w:rPr>
        <w:t>CANFD接口；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不少于</w:t>
      </w:r>
      <w:r>
        <w:rPr>
          <w:rFonts w:ascii="宋体" w:hAnsi="宋体" w:eastAsia="宋体" w:cs="Times New Roman"/>
          <w:sz w:val="24"/>
          <w:szCs w:val="24"/>
        </w:rPr>
        <w:t>4</w:t>
      </w:r>
      <w:r>
        <w:rPr>
          <w:rFonts w:hint="eastAsia" w:ascii="宋体" w:hAnsi="宋体" w:eastAsia="宋体" w:cs="Times New Roman"/>
          <w:sz w:val="24"/>
          <w:szCs w:val="24"/>
        </w:rPr>
        <w:t>路LIN接口；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时间戳精度不受通道影响；</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高速</w:t>
      </w:r>
      <w:r>
        <w:rPr>
          <w:rFonts w:ascii="宋体" w:hAnsi="宋体" w:eastAsia="宋体" w:cs="Times New Roman"/>
          <w:sz w:val="24"/>
          <w:szCs w:val="24"/>
        </w:rPr>
        <w:t>CAN</w:t>
      </w:r>
      <w:r>
        <w:rPr>
          <w:rFonts w:hint="eastAsia" w:ascii="宋体" w:hAnsi="宋体" w:eastAsia="宋体" w:cs="Times New Roman"/>
          <w:sz w:val="24"/>
          <w:szCs w:val="24"/>
        </w:rPr>
        <w:t>的传输速率可达</w:t>
      </w:r>
      <w:r>
        <w:rPr>
          <w:rFonts w:ascii="宋体" w:hAnsi="宋体" w:eastAsia="宋体" w:cs="Times New Roman"/>
          <w:sz w:val="24"/>
          <w:szCs w:val="24"/>
        </w:rPr>
        <w:t>1 Mbit/s</w:t>
      </w:r>
      <w:r>
        <w:rPr>
          <w:rFonts w:hint="eastAsia" w:ascii="宋体" w:hAnsi="宋体" w:eastAsia="宋体" w:cs="Times New Roman"/>
          <w:sz w:val="24"/>
          <w:szCs w:val="24"/>
        </w:rPr>
        <w:t>，</w:t>
      </w:r>
      <w:r>
        <w:rPr>
          <w:rFonts w:ascii="宋体" w:hAnsi="宋体" w:eastAsia="宋体" w:cs="Times New Roman"/>
          <w:sz w:val="24"/>
          <w:szCs w:val="24"/>
        </w:rPr>
        <w:t>CANFD</w:t>
      </w:r>
      <w:r>
        <w:rPr>
          <w:rFonts w:hint="eastAsia" w:ascii="宋体" w:hAnsi="宋体" w:eastAsia="宋体" w:cs="Times New Roman"/>
          <w:sz w:val="24"/>
          <w:szCs w:val="24"/>
        </w:rPr>
        <w:t>传输速率可达</w:t>
      </w:r>
      <w:r>
        <w:rPr>
          <w:rFonts w:ascii="宋体" w:hAnsi="宋体" w:eastAsia="宋体" w:cs="Times New Roman"/>
          <w:sz w:val="24"/>
          <w:szCs w:val="24"/>
        </w:rPr>
        <w:t>8 Mbit/s</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可检测和生成错误帧</w:t>
      </w:r>
      <w:r>
        <w:rPr>
          <w:rFonts w:ascii="宋体" w:hAnsi="宋体" w:eastAsia="宋体" w:cs="Times New Roman"/>
          <w:sz w:val="24"/>
          <w:szCs w:val="24"/>
        </w:rPr>
        <w:t>/</w:t>
      </w:r>
      <w:r>
        <w:rPr>
          <w:rFonts w:hint="eastAsia" w:ascii="宋体" w:hAnsi="宋体" w:eastAsia="宋体" w:cs="Times New Roman"/>
          <w:sz w:val="24"/>
          <w:szCs w:val="24"/>
        </w:rPr>
        <w:t>远程帧；</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包含硬同步接口，可与其他总线接口卡进行硬线时钟同步（同步误差小于</w:t>
      </w:r>
      <w:r>
        <w:rPr>
          <w:rFonts w:ascii="宋体" w:hAnsi="宋体" w:eastAsia="宋体" w:cs="Times New Roman"/>
          <w:sz w:val="24"/>
          <w:szCs w:val="24"/>
        </w:rPr>
        <w:t>1μs</w:t>
      </w:r>
      <w:r>
        <w:rPr>
          <w:rFonts w:hint="eastAsia" w:ascii="宋体" w:hAnsi="宋体" w:eastAsia="宋体" w:cs="Times New Roman"/>
          <w:sz w:val="24"/>
          <w:szCs w:val="24"/>
        </w:rPr>
        <w:t>），保证同步性。</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.2.9</w:t>
      </w:r>
      <w:r>
        <w:rPr>
          <w:rFonts w:hint="eastAsia" w:ascii="宋体" w:hAnsi="宋体" w:eastAsia="宋体" w:cs="Times New Roman"/>
          <w:sz w:val="24"/>
          <w:szCs w:val="24"/>
        </w:rPr>
        <w:t>程控</w:t>
      </w:r>
      <w:r>
        <w:rPr>
          <w:rFonts w:ascii="宋体" w:hAnsi="宋体" w:eastAsia="宋体" w:cs="Times New Roman"/>
          <w:sz w:val="24"/>
          <w:szCs w:val="24"/>
        </w:rPr>
        <w:t>BOB</w:t>
      </w:r>
      <w:r>
        <w:rPr>
          <w:rFonts w:hint="eastAsia" w:ascii="宋体" w:hAnsi="宋体" w:eastAsia="宋体" w:cs="Times New Roman"/>
          <w:sz w:val="24"/>
          <w:szCs w:val="24"/>
        </w:rPr>
        <w:t>要求</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被测控制器的KL30、KL15、GND、信号线单独分离出来与程控BOB对接，信号通过程控BOB完成传输；可程控BOB实现信号线及电源线断开与连接的控制操作，实现单节点故障注入及网络管理唤醒条件触发等功能，所有端口可以独立控制；BOB支持CAN总线控制，具备终端电阻匹配；BOB面板上具有L</w:t>
      </w:r>
      <w:r>
        <w:rPr>
          <w:rFonts w:ascii="宋体" w:hAnsi="宋体" w:eastAsia="宋体" w:cs="Times New Roman"/>
          <w:sz w:val="24"/>
          <w:szCs w:val="24"/>
        </w:rPr>
        <w:t>ED</w:t>
      </w:r>
      <w:r>
        <w:rPr>
          <w:rFonts w:hint="eastAsia" w:ascii="宋体" w:hAnsi="宋体" w:eastAsia="宋体" w:cs="Times New Roman"/>
          <w:sz w:val="24"/>
          <w:szCs w:val="24"/>
        </w:rPr>
        <w:t>指示灯指示相关信号通断状态；数量不少于</w:t>
      </w:r>
      <w:r>
        <w:rPr>
          <w:rFonts w:ascii="宋体" w:hAnsi="宋体" w:eastAsia="宋体" w:cs="Times New Roman"/>
          <w:sz w:val="24"/>
          <w:szCs w:val="24"/>
        </w:rPr>
        <w:t>25</w:t>
      </w:r>
      <w:r>
        <w:rPr>
          <w:rFonts w:hint="eastAsia" w:ascii="宋体" w:hAnsi="宋体" w:eastAsia="宋体" w:cs="Times New Roman"/>
          <w:sz w:val="24"/>
          <w:szCs w:val="24"/>
        </w:rPr>
        <w:t>个。C</w:t>
      </w:r>
      <w:r>
        <w:rPr>
          <w:rFonts w:ascii="宋体" w:hAnsi="宋体" w:eastAsia="宋体" w:cs="Times New Roman"/>
          <w:sz w:val="24"/>
          <w:szCs w:val="24"/>
        </w:rPr>
        <w:t>AN/LIN/CANFD</w:t>
      </w:r>
      <w:r>
        <w:rPr>
          <w:rFonts w:hint="eastAsia" w:ascii="宋体" w:hAnsi="宋体" w:eastAsia="宋体" w:cs="Times New Roman"/>
          <w:sz w:val="24"/>
          <w:szCs w:val="24"/>
        </w:rPr>
        <w:t>系统测试可与以太网系统测试共用程控B</w:t>
      </w:r>
      <w:r>
        <w:rPr>
          <w:rFonts w:ascii="宋体" w:hAnsi="宋体" w:eastAsia="宋体" w:cs="Times New Roman"/>
          <w:sz w:val="24"/>
          <w:szCs w:val="24"/>
        </w:rPr>
        <w:t>OB</w:t>
      </w:r>
      <w:r>
        <w:rPr>
          <w:rFonts w:hint="eastAsia" w:ascii="宋体" w:hAnsi="宋体" w:eastAsia="宋体" w:cs="Times New Roman"/>
          <w:sz w:val="24"/>
          <w:szCs w:val="24"/>
        </w:rPr>
        <w:t>。</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.2.10</w:t>
      </w:r>
      <w:r>
        <w:rPr>
          <w:rFonts w:hint="eastAsia" w:ascii="宋体" w:hAnsi="宋体" w:eastAsia="宋体" w:cs="Times New Roman"/>
          <w:sz w:val="24"/>
          <w:szCs w:val="24"/>
        </w:rPr>
        <w:t>工控机及显示系统要求</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CPU：i7处理器或以上；</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内存：≥</w:t>
      </w:r>
      <w:r>
        <w:rPr>
          <w:rFonts w:ascii="宋体" w:hAnsi="宋体" w:eastAsia="宋体" w:cs="Times New Roman"/>
          <w:sz w:val="24"/>
          <w:szCs w:val="24"/>
        </w:rPr>
        <w:t>32</w:t>
      </w:r>
      <w:r>
        <w:rPr>
          <w:rFonts w:hint="eastAsia" w:ascii="宋体" w:hAnsi="宋体" w:eastAsia="宋体" w:cs="Times New Roman"/>
          <w:sz w:val="24"/>
          <w:szCs w:val="24"/>
        </w:rPr>
        <w:t>G；</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固态硬盘：≥</w:t>
      </w:r>
      <w:r>
        <w:rPr>
          <w:rFonts w:hint="eastAsia" w:ascii="Times New Roman" w:hAnsi="Times New Roman" w:eastAsia="宋体" w:cs="Times New Roman"/>
          <w:sz w:val="24"/>
          <w:szCs w:val="24"/>
        </w:rPr>
        <w:t>1</w:t>
      </w:r>
      <w:r>
        <w:rPr>
          <w:rFonts w:ascii="Times New Roman" w:hAnsi="Times New Roman" w:eastAsia="宋体" w:cs="Times New Roman"/>
          <w:sz w:val="24"/>
          <w:szCs w:val="24"/>
        </w:rPr>
        <w:t>T</w:t>
      </w:r>
      <w:r>
        <w:rPr>
          <w:rFonts w:hint="eastAsia" w:ascii="宋体" w:hAnsi="宋体" w:eastAsia="宋体" w:cs="Times New Roman"/>
          <w:sz w:val="24"/>
          <w:szCs w:val="24"/>
        </w:rPr>
        <w:t>B；</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USB3.0以上接口：≥</w:t>
      </w:r>
      <w:r>
        <w:rPr>
          <w:rFonts w:ascii="宋体" w:hAnsi="宋体" w:eastAsia="宋体" w:cs="Times New Roman"/>
          <w:sz w:val="24"/>
          <w:szCs w:val="24"/>
        </w:rPr>
        <w:t>4</w:t>
      </w:r>
      <w:r>
        <w:rPr>
          <w:rFonts w:hint="eastAsia" w:ascii="宋体" w:hAnsi="宋体" w:eastAsia="宋体" w:cs="Times New Roman"/>
          <w:sz w:val="24"/>
          <w:szCs w:val="24"/>
        </w:rPr>
        <w:t>个；</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以太网口：≥2（</w:t>
      </w:r>
      <w:r>
        <w:rPr>
          <w:rFonts w:ascii="宋体" w:hAnsi="宋体" w:eastAsia="宋体" w:cs="Times New Roman"/>
          <w:sz w:val="24"/>
          <w:szCs w:val="24"/>
        </w:rPr>
        <w:t>10G</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C</w:t>
      </w:r>
      <w:r>
        <w:rPr>
          <w:rFonts w:ascii="宋体" w:hAnsi="宋体" w:eastAsia="宋体" w:cs="Times New Roman"/>
          <w:sz w:val="24"/>
          <w:szCs w:val="24"/>
        </w:rPr>
        <w:t>OM</w:t>
      </w:r>
      <w:r>
        <w:rPr>
          <w:rFonts w:hint="eastAsia" w:ascii="宋体" w:hAnsi="宋体" w:eastAsia="宋体" w:cs="Times New Roman"/>
          <w:sz w:val="24"/>
          <w:szCs w:val="24"/>
        </w:rPr>
        <w:t>口：≥1；</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预安装正版Windows操作系统以及正版Office办公软件；</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桌面式显示器（</w:t>
      </w:r>
      <w:r>
        <w:rPr>
          <w:rFonts w:hint="eastAsia" w:ascii="Times New Roman" w:hAnsi="Times New Roman" w:eastAsia="宋体" w:cs="Times New Roman"/>
          <w:sz w:val="24"/>
          <w:szCs w:val="24"/>
        </w:rPr>
        <w:t>≥</w:t>
      </w:r>
      <w:r>
        <w:rPr>
          <w:rFonts w:ascii="Times New Roman" w:hAnsi="Times New Roman" w:eastAsia="宋体" w:cs="Times New Roman"/>
          <w:sz w:val="24"/>
          <w:szCs w:val="24"/>
        </w:rPr>
        <w:t>24</w:t>
      </w:r>
      <w:r>
        <w:rPr>
          <w:rFonts w:hint="eastAsia" w:ascii="Times New Roman" w:hAnsi="Times New Roman" w:eastAsia="宋体" w:cs="Times New Roman"/>
          <w:sz w:val="24"/>
          <w:szCs w:val="24"/>
        </w:rPr>
        <w:t>英寸</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独立的鼠标键盘（无线）；</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USB3.0以上拓展线一个。</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.2.11</w:t>
      </w:r>
      <w:r>
        <w:rPr>
          <w:rFonts w:hint="eastAsia" w:ascii="宋体" w:hAnsi="宋体" w:eastAsia="宋体" w:cs="Times New Roman"/>
          <w:sz w:val="24"/>
          <w:szCs w:val="24"/>
        </w:rPr>
        <w:t>系统测试台架要求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系统测试台架的设计在可安装ECU数目上具有扩展性；可以根据不同的网络拓扑结构将控制器布置在台架上；能够安放测试系统显示器。正面台架背面有门可以将线束和BOB封闭在内部，实现整体整洁美观；台架背面的门可以拆卸，方便布线；BOB有续整齐排列，线槽走线清晰整洁。具体尺寸及设计要求依据工作现场实际情况以及与甲方的协商结果进行设计。C</w:t>
      </w:r>
      <w:r>
        <w:rPr>
          <w:rFonts w:ascii="宋体" w:hAnsi="宋体" w:eastAsia="宋体" w:cs="Times New Roman"/>
          <w:sz w:val="24"/>
          <w:szCs w:val="24"/>
        </w:rPr>
        <w:t>AN/LIN/CANFD</w:t>
      </w:r>
      <w:r>
        <w:rPr>
          <w:rFonts w:hint="eastAsia" w:ascii="宋体" w:hAnsi="宋体" w:eastAsia="宋体" w:cs="Times New Roman"/>
          <w:sz w:val="24"/>
          <w:szCs w:val="24"/>
        </w:rPr>
        <w:t>系统测试台架与以太网系统测试共用。</w:t>
      </w:r>
    </w:p>
    <w:p>
      <w:pPr>
        <w:keepNext/>
        <w:keepLines/>
        <w:spacing w:line="376" w:lineRule="auto"/>
        <w:outlineLvl w:val="5"/>
        <w:rPr>
          <w:rFonts w:ascii="Times New Roman" w:hAnsi="Times New Roman" w:eastAsia="宋体" w:cs="Times New Roman"/>
          <w:b/>
          <w:bCs/>
          <w:sz w:val="24"/>
          <w:szCs w:val="24"/>
        </w:rPr>
      </w:pPr>
      <w:r>
        <w:rPr>
          <w:rFonts w:hint="eastAsia" w:ascii="宋体" w:hAnsi="宋体" w:eastAsia="宋体" w:cs="Times New Roman"/>
          <w:sz w:val="24"/>
          <w:szCs w:val="24"/>
        </w:rPr>
        <w:t>1</w:t>
      </w:r>
      <w:r>
        <w:rPr>
          <w:rFonts w:ascii="宋体" w:hAnsi="宋体" w:eastAsia="宋体" w:cs="Times New Roman"/>
          <w:sz w:val="24"/>
          <w:szCs w:val="24"/>
        </w:rPr>
        <w:t>.2.12</w:t>
      </w:r>
      <w:r>
        <w:rPr>
          <w:rFonts w:hint="eastAsia" w:ascii="宋体" w:hAnsi="宋体" w:eastAsia="宋体" w:cs="Times New Roman"/>
          <w:sz w:val="24"/>
          <w:szCs w:val="24"/>
        </w:rPr>
        <w:t>电源控制模块要求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电源控制模块用于控制测试系统的整体供电，控制电源的通断。要求如下：</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具备短路保护和紧急停止功能；</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具备防止突然断电或短路等而损坏设备的自我保护能力；</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具有独立开关实现启动和关闭；</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输入为220V标准电压，为机柜中其它集成的测试设备供电。</w:t>
      </w:r>
    </w:p>
    <w:p>
      <w:pPr>
        <w:keepNext/>
        <w:keepLines/>
        <w:spacing w:line="376" w:lineRule="auto"/>
        <w:outlineLvl w:val="4"/>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.3</w:t>
      </w:r>
      <w:r>
        <w:rPr>
          <w:rFonts w:hint="eastAsia" w:ascii="宋体" w:hAnsi="宋体" w:eastAsia="宋体" w:cs="Times New Roman"/>
          <w:sz w:val="24"/>
          <w:szCs w:val="24"/>
        </w:rPr>
        <w:t>测试系统软件要求</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.3.1</w:t>
      </w:r>
      <w:r>
        <w:rPr>
          <w:rFonts w:hint="eastAsia" w:ascii="宋体" w:hAnsi="宋体" w:eastAsia="宋体" w:cs="Times New Roman"/>
          <w:sz w:val="24"/>
          <w:szCs w:val="24"/>
        </w:rPr>
        <w:t>管理软件要求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1）人机操作界面简单友好，无需额外操作其他软件程序即可实现测试执行的操作。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2）通过树状结构组织测试用例，能够简洁有效调用各测试脚本。</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3）支持车型的创建和编辑复制。</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4）具备测试用例管理功能，包含对测试用例的编辑、修改、删除、复制、导入、导出等功能。</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5）支持选定测试用例执行范围，可根据需要选择部分测试用例执行，测试中支持执行、暂停、继续执行、停止和退出的操作。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6）支持测试报告的自动生成，测试报告的生成支持两种模式，模式一按招标方提供的报告模板自动生成相应概括性检测报告（报告模板由招标方提供）。模式二为覆盖详细测试内容的测试报告：报告为Excel</w:t>
      </w:r>
      <w:r>
        <w:rPr>
          <w:rFonts w:ascii="宋体" w:hAnsi="宋体" w:eastAsia="宋体" w:cs="Times New Roman"/>
          <w:sz w:val="24"/>
          <w:szCs w:val="24"/>
        </w:rPr>
        <w:t>/W</w:t>
      </w:r>
      <w:r>
        <w:rPr>
          <w:rFonts w:hint="eastAsia" w:ascii="宋体" w:hAnsi="宋体" w:eastAsia="宋体" w:cs="Times New Roman"/>
          <w:sz w:val="24"/>
          <w:szCs w:val="24"/>
        </w:rPr>
        <w:t>ord等可编辑的报告格式；测试报告应体现测试数据的关键时间戳或者截图，支持在目录页通过点击测试项目条目，跳转到相应的测试结果页；测试结果必须包含该测试条目的测试用例索引编号、测试标准、实际测试值、测试结果及判断原因，测试项目完整清晰准确。可以查看历史测试报告及详细测试数据。</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7）具备测试报告和数据管理功能，可保存存储全部测试数据到指定路径、数据库，并根据不同测试类型进行分类管理，数据命名具有可读性、可追溯性，用户能够对测试数据进行查看。</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测试报告内容需可靠完整，包含（但不限于）判断结果、判断依据、详细测试步骤及执行情况，可直接作为控制器车载网络协议一致性的评判依据，不需要再次进行手动更改；测试报告需体现被测对象信息（适配车型、型号、版本号）、测试时间、测试地点和测试人员等相关信息。</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9）在测试用例执行过程中可以实时显示测试进度、执行状态及测试结果，已执行/未执行用例数量，测试时间，测试正常/异常等。</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.3.2</w:t>
      </w:r>
      <w:r>
        <w:rPr>
          <w:rFonts w:hint="eastAsia" w:ascii="宋体" w:hAnsi="宋体" w:eastAsia="宋体" w:cs="Times New Roman"/>
          <w:sz w:val="24"/>
          <w:szCs w:val="24"/>
        </w:rPr>
        <w:t>测试执行软件要求</w:t>
      </w:r>
    </w:p>
    <w:p>
      <w:pPr>
        <w:spacing w:line="420" w:lineRule="exact"/>
        <w:ind w:firstLine="420"/>
        <w:rPr>
          <w:rFonts w:ascii="宋体" w:hAnsi="宋体" w:eastAsia="宋体" w:cs="Times New Roman"/>
          <w:sz w:val="24"/>
          <w:szCs w:val="24"/>
        </w:rPr>
      </w:pPr>
      <w:bookmarkStart w:id="38" w:name="_Hlk131785983"/>
      <w:r>
        <w:rPr>
          <w:rFonts w:ascii="宋体" w:hAnsi="宋体" w:eastAsia="宋体" w:cs="Times New Roman"/>
          <w:sz w:val="24"/>
          <w:szCs w:val="24"/>
        </w:rPr>
        <w:t>1</w:t>
      </w:r>
      <w:r>
        <w:rPr>
          <w:rFonts w:hint="eastAsia" w:ascii="宋体" w:hAnsi="宋体" w:eastAsia="宋体" w:cs="Times New Roman"/>
          <w:sz w:val="24"/>
          <w:szCs w:val="24"/>
        </w:rPr>
        <w:t>）测试软件可直观显示测试用例、执行状态、测试结果等。</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2）测试软件具备手动操作界面，可启动、暂停、停止测试进程。</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）软件模型及脚本中通用可配置参数以参数配置面板的形式提供配置界面；测试软件应与测试系统无缝匹配，包括测试执行、测试脚本开发、测试参数的更改配置、硬件的调用等。</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）测试用例开发须采用行业通用语言环境进行开发，且开发软件对测试脚本具备管理功能，支持从测试脚本中分离测试参数，测试脚本中具有明确的注释，易于脚本的解读查看和理解。</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）测试软件可以通过面板调用各类网络测试设备进行测试，如程控电源，测试板卡等。</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）可覆盖LIN/CAN/CANFD等多种总线协议测试需求，其中CAN需要支持11位和29位ID配置。</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）支持网络数据库（DBC/LDF等）的导入及编辑功能。</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8</w:t>
      </w:r>
      <w:r>
        <w:rPr>
          <w:rFonts w:hint="eastAsia" w:ascii="宋体" w:hAnsi="宋体" w:eastAsia="宋体" w:cs="Times New Roman"/>
          <w:sz w:val="24"/>
          <w:szCs w:val="24"/>
        </w:rPr>
        <w:t>）可仿真网络节点，并支持对信号的直接操作。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9）支持HEX/S19/BIN等行业通用软件格式解析。</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0</w:t>
      </w:r>
      <w:r>
        <w:rPr>
          <w:rFonts w:hint="eastAsia" w:ascii="宋体" w:hAnsi="宋体" w:eastAsia="宋体" w:cs="Times New Roman"/>
          <w:sz w:val="24"/>
          <w:szCs w:val="24"/>
        </w:rPr>
        <w:t>）支持测试过程中的图号、log文件和记录。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1</w:t>
      </w:r>
      <w:r>
        <w:rPr>
          <w:rFonts w:hint="eastAsia" w:ascii="宋体" w:hAnsi="宋体" w:eastAsia="宋体" w:cs="Times New Roman"/>
          <w:sz w:val="24"/>
          <w:szCs w:val="24"/>
        </w:rPr>
        <w:t>）测试软件框架必须易于使用，自定义函数需要有注释，易于编辑和维护。</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2</w:t>
      </w:r>
      <w:r>
        <w:rPr>
          <w:rFonts w:hint="eastAsia" w:ascii="宋体" w:hAnsi="宋体" w:eastAsia="宋体" w:cs="Times New Roman"/>
          <w:sz w:val="24"/>
          <w:szCs w:val="24"/>
        </w:rPr>
        <w:t>）测试软件可根据CAN/CANFD的</w:t>
      </w:r>
      <w:r>
        <w:rPr>
          <w:rFonts w:ascii="宋体" w:hAnsi="宋体" w:eastAsia="宋体" w:cs="Times New Roman"/>
          <w:sz w:val="24"/>
          <w:szCs w:val="24"/>
        </w:rPr>
        <w:t>CDD/ODX</w:t>
      </w:r>
      <w:r>
        <w:rPr>
          <w:rFonts w:hint="eastAsia" w:ascii="宋体" w:hAnsi="宋体" w:eastAsia="宋体" w:cs="Times New Roman"/>
          <w:sz w:val="24"/>
          <w:szCs w:val="24"/>
        </w:rPr>
        <w:t>/</w:t>
      </w:r>
      <w:r>
        <w:rPr>
          <w:rFonts w:ascii="宋体" w:hAnsi="宋体" w:eastAsia="宋体" w:cs="Times New Roman"/>
          <w:sz w:val="24"/>
          <w:szCs w:val="24"/>
        </w:rPr>
        <w:t>DLL</w:t>
      </w:r>
      <w:r>
        <w:rPr>
          <w:rFonts w:hint="eastAsia" w:ascii="宋体" w:hAnsi="宋体" w:eastAsia="宋体" w:cs="Times New Roman"/>
          <w:sz w:val="24"/>
          <w:szCs w:val="24"/>
        </w:rPr>
        <w:t>等行业通用诊断描述文件自动配置生成UDS测试用例，且覆盖度全面；支持根据诊断调查问卷生成诊断描述文件（CDD/ODX/DLL），并提供诊断调查问卷模板。</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3</w:t>
      </w:r>
      <w:r>
        <w:rPr>
          <w:rFonts w:hint="eastAsia" w:ascii="宋体" w:hAnsi="宋体" w:eastAsia="宋体" w:cs="Times New Roman"/>
          <w:sz w:val="24"/>
          <w:szCs w:val="24"/>
        </w:rPr>
        <w:t>）测试脚本需要提供源代码，支持编辑和修改功能，保证能在多台PC运行。</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w:t>
      </w:r>
      <w:r>
        <w:rPr>
          <w:rFonts w:hint="eastAsia" w:ascii="宋体" w:hAnsi="宋体" w:eastAsia="宋体" w:cs="Times New Roman"/>
          <w:sz w:val="24"/>
          <w:szCs w:val="24"/>
        </w:rPr>
        <w:t>）可支持数据保存及回放功能，便于问题数据的追踪，支持数据类型包括网络数据、电流及电压等电信号数据、图像视频数据等。</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5</w:t>
      </w:r>
      <w:r>
        <w:rPr>
          <w:rFonts w:hint="eastAsia" w:ascii="宋体" w:hAnsi="宋体" w:eastAsia="宋体" w:cs="Times New Roman"/>
          <w:sz w:val="24"/>
          <w:szCs w:val="24"/>
        </w:rPr>
        <w:t>）测试相关参数与测试脚本分离，可单独进行配置。</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6</w:t>
      </w:r>
      <w:r>
        <w:rPr>
          <w:rFonts w:hint="eastAsia" w:ascii="宋体" w:hAnsi="宋体" w:eastAsia="宋体" w:cs="Times New Roman"/>
          <w:sz w:val="24"/>
          <w:szCs w:val="24"/>
        </w:rPr>
        <w:t>）测试软件具有独立的测试数据记录窗口、Graphic窗口、Display窗口、测量窗口、统计分析窗口；窗口显示支持编辑：增加、删除、坐标轴调整、数据曲线颜色调整等。</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7</w:t>
      </w:r>
      <w:r>
        <w:rPr>
          <w:rFonts w:hint="eastAsia" w:ascii="宋体" w:hAnsi="宋体" w:eastAsia="宋体" w:cs="Times New Roman"/>
          <w:sz w:val="24"/>
          <w:szCs w:val="24"/>
        </w:rPr>
        <w:t>）测试用例开发软件应能够通过简单操作实现对测试逻辑的变更，不需要额外增加中间驱动或其它应用程序开发工作，便于后续平台的扩展及延伸，便于工程师的维护及二次开发。</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8</w:t>
      </w:r>
      <w:r>
        <w:rPr>
          <w:rFonts w:hint="eastAsia" w:ascii="宋体" w:hAnsi="宋体" w:eastAsia="宋体" w:cs="Times New Roman"/>
          <w:sz w:val="24"/>
          <w:szCs w:val="24"/>
        </w:rPr>
        <w:t>）支持测试执行软件自动获取路由表模板信息进行自动化测试。</w:t>
      </w:r>
    </w:p>
    <w:bookmarkEnd w:id="38"/>
    <w:p>
      <w:pPr>
        <w:keepNext/>
        <w:keepLines/>
        <w:spacing w:line="376" w:lineRule="auto"/>
        <w:outlineLvl w:val="4"/>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 xml:space="preserve">.4 </w:t>
      </w:r>
      <w:r>
        <w:rPr>
          <w:rFonts w:hint="eastAsia" w:ascii="宋体" w:hAnsi="宋体" w:eastAsia="宋体" w:cs="Times New Roman"/>
          <w:sz w:val="24"/>
          <w:szCs w:val="24"/>
        </w:rPr>
        <w:t>测试规范及测试用例要求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针对所有测试内容，投标方需提供详细的测试规范和与之对应的测试用例（按</w:t>
      </w:r>
      <w:r>
        <w:rPr>
          <w:rFonts w:hint="eastAsia" w:ascii="宋体" w:hAnsi="宋体" w:eastAsia="宋体" w:cs="Times New Roman"/>
          <w:sz w:val="24"/>
          <w:szCs w:val="24"/>
          <w:highlight w:val="yellow"/>
        </w:rPr>
        <w:t>附件1</w:t>
      </w:r>
      <w:r>
        <w:rPr>
          <w:rFonts w:ascii="宋体" w:hAnsi="宋体" w:eastAsia="宋体" w:cs="Times New Roman"/>
          <w:sz w:val="24"/>
          <w:szCs w:val="24"/>
          <w:highlight w:val="yellow"/>
        </w:rPr>
        <w:t>7</w:t>
      </w:r>
      <w:r>
        <w:rPr>
          <w:rFonts w:hint="eastAsia" w:ascii="宋体" w:hAnsi="宋体" w:eastAsia="宋体" w:cs="Times New Roman"/>
          <w:sz w:val="24"/>
          <w:szCs w:val="24"/>
          <w:highlight w:val="yellow"/>
        </w:rPr>
        <w:t>表</w:t>
      </w:r>
      <w:r>
        <w:rPr>
          <w:rFonts w:hint="eastAsia" w:ascii="宋体" w:hAnsi="宋体" w:eastAsia="宋体" w:cs="Times New Roman"/>
          <w:sz w:val="24"/>
          <w:szCs w:val="24"/>
        </w:rPr>
        <w:t>模板详细列明测试用例条目）。投标方需在招标方企业标准规定和招标方提供的测试条目外，另根据自身行业项目测试经验制定并提供覆盖全面的测试规范，确定测试用例条目，并经买方确认后开发测试用例脚本，并提供测试样件及测试环境进行脚本测试验证。测试用例开发需满足如下要求：</w:t>
      </w:r>
    </w:p>
    <w:p>
      <w:pPr>
        <w:spacing w:line="420" w:lineRule="exact"/>
        <w:ind w:firstLine="480" w:firstLineChars="200"/>
        <w:rPr>
          <w:rFonts w:ascii="宋体" w:hAnsi="宋体" w:eastAsia="宋体" w:cs="Times New Roman"/>
          <w:sz w:val="24"/>
          <w:szCs w:val="24"/>
        </w:rPr>
      </w:pPr>
      <w:bookmarkStart w:id="39" w:name="_Hlk133393527"/>
      <w:r>
        <w:rPr>
          <w:rFonts w:hint="eastAsia" w:ascii="宋体" w:hAnsi="宋体" w:eastAsia="宋体" w:cs="Times New Roman"/>
          <w:sz w:val="24"/>
          <w:szCs w:val="24"/>
        </w:rPr>
        <w:t>1）网络通信测试CAN/CANFD。内容至少覆盖物理层、数据链路层、交互层、网络容错、网络相关诊断和网络启动与关闭测试。CAN测试用例数量至少</w:t>
      </w:r>
      <w:r>
        <w:rPr>
          <w:rFonts w:ascii="宋体" w:hAnsi="宋体" w:eastAsia="宋体" w:cs="Times New Roman"/>
          <w:sz w:val="24"/>
          <w:szCs w:val="24"/>
        </w:rPr>
        <w:t>40</w:t>
      </w:r>
      <w:r>
        <w:rPr>
          <w:rFonts w:hint="eastAsia" w:ascii="宋体" w:hAnsi="宋体" w:eastAsia="宋体" w:cs="Times New Roman"/>
          <w:sz w:val="24"/>
          <w:szCs w:val="24"/>
        </w:rPr>
        <w:t>条。CANFD测试用例至少4</w:t>
      </w:r>
      <w:r>
        <w:rPr>
          <w:rFonts w:ascii="宋体" w:hAnsi="宋体" w:eastAsia="宋体" w:cs="Times New Roman"/>
          <w:sz w:val="24"/>
          <w:szCs w:val="24"/>
        </w:rPr>
        <w:t>0</w:t>
      </w:r>
      <w:r>
        <w:rPr>
          <w:rFonts w:hint="eastAsia" w:ascii="宋体" w:hAnsi="宋体" w:eastAsia="宋体" w:cs="Times New Roman"/>
          <w:sz w:val="24"/>
          <w:szCs w:val="24"/>
        </w:rPr>
        <w:t>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2）网络通信测试-LIN Master。内容至少覆盖物理层、数据链路层、应用层、网络容错和网络管理测试。测试用例数量至少2</w:t>
      </w:r>
      <w:r>
        <w:rPr>
          <w:rFonts w:ascii="宋体" w:hAnsi="宋体" w:eastAsia="宋体" w:cs="Times New Roman"/>
          <w:sz w:val="24"/>
          <w:szCs w:val="24"/>
        </w:rPr>
        <w:t>5</w:t>
      </w:r>
      <w:r>
        <w:rPr>
          <w:rFonts w:hint="eastAsia" w:ascii="宋体" w:hAnsi="宋体" w:eastAsia="宋体" w:cs="Times New Roman"/>
          <w:sz w:val="24"/>
          <w:szCs w:val="24"/>
        </w:rPr>
        <w:t>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3）网络通信测试-LIN Slave。内容至少覆盖物理层、数据链路层、应用层、网络容错和网络管理测试。测试用例数量至少2</w:t>
      </w:r>
      <w:r>
        <w:rPr>
          <w:rFonts w:ascii="宋体" w:hAnsi="宋体" w:eastAsia="宋体" w:cs="Times New Roman"/>
          <w:sz w:val="24"/>
          <w:szCs w:val="24"/>
        </w:rPr>
        <w:t>5</w:t>
      </w:r>
      <w:r>
        <w:rPr>
          <w:rFonts w:hint="eastAsia" w:ascii="宋体" w:hAnsi="宋体" w:eastAsia="宋体" w:cs="Times New Roman"/>
          <w:sz w:val="24"/>
          <w:szCs w:val="24"/>
        </w:rPr>
        <w:t>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4）网络管理测试。测试用例需同时支持CAN和CANFD总线类型。</w:t>
      </w:r>
      <w:r>
        <w:rPr>
          <w:rFonts w:ascii="宋体" w:hAnsi="宋体" w:eastAsia="宋体" w:cs="Times New Roman"/>
          <w:sz w:val="24"/>
          <w:szCs w:val="24"/>
        </w:rPr>
        <w:t>AUTOSAR</w:t>
      </w:r>
      <w:r>
        <w:rPr>
          <w:rFonts w:hint="eastAsia" w:ascii="宋体" w:hAnsi="宋体" w:eastAsia="宋体" w:cs="Times New Roman"/>
          <w:sz w:val="24"/>
          <w:szCs w:val="24"/>
        </w:rPr>
        <w:t>/</w:t>
      </w:r>
      <w:r>
        <w:rPr>
          <w:rFonts w:ascii="宋体" w:hAnsi="宋体" w:eastAsia="宋体" w:cs="Times New Roman"/>
          <w:sz w:val="24"/>
          <w:szCs w:val="24"/>
        </w:rPr>
        <w:t>OSEK</w:t>
      </w:r>
      <w:r>
        <w:rPr>
          <w:rFonts w:hint="eastAsia" w:ascii="宋体" w:hAnsi="宋体" w:eastAsia="宋体" w:cs="Times New Roman"/>
          <w:sz w:val="24"/>
          <w:szCs w:val="24"/>
        </w:rPr>
        <w:t>网络管理测试内容至少覆盖报文数据格式、NM状态转换和特殊NM策略测试，测试用例数量至少</w:t>
      </w:r>
      <w:r>
        <w:rPr>
          <w:rFonts w:ascii="宋体" w:hAnsi="宋体" w:eastAsia="宋体" w:cs="Times New Roman"/>
          <w:sz w:val="24"/>
          <w:szCs w:val="24"/>
        </w:rPr>
        <w:t>30</w:t>
      </w:r>
      <w:r>
        <w:rPr>
          <w:rFonts w:hint="eastAsia" w:ascii="宋体" w:hAnsi="宋体" w:eastAsia="宋体" w:cs="Times New Roman"/>
          <w:sz w:val="24"/>
          <w:szCs w:val="24"/>
        </w:rPr>
        <w:t>条。间接网络管理测试内容至少覆盖网路启动测试和网络关闭测试，测试用例数量至少4条。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5）网关路由测试：网关路由测试工程需覆盖至少6路CAN和2路CANFD。内容至少覆盖报文路由、信号路由、诊断相关和容错性测试。测试用例数量至少30条。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6）诊断协议测试：除测试用例自动生成软件产生的测试用例外，需要额外补充测试用例，数量至少</w:t>
      </w:r>
      <w:r>
        <w:rPr>
          <w:rFonts w:ascii="宋体" w:hAnsi="宋体" w:eastAsia="宋体" w:cs="Times New Roman"/>
          <w:sz w:val="24"/>
          <w:szCs w:val="24"/>
        </w:rPr>
        <w:t>15</w:t>
      </w:r>
      <w:r>
        <w:rPr>
          <w:rFonts w:hint="eastAsia" w:ascii="宋体" w:hAnsi="宋体" w:eastAsia="宋体" w:cs="Times New Roman"/>
          <w:sz w:val="24"/>
          <w:szCs w:val="24"/>
        </w:rPr>
        <w:t>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7）Bootloader测试：测试用例需同时支持CAN和CANFD总线类型。内容至少覆盖正常刷写测试、刷写容错测试和刷写安全性测试。测试用例数量至少</w:t>
      </w:r>
      <w:r>
        <w:rPr>
          <w:rFonts w:ascii="宋体" w:hAnsi="宋体" w:eastAsia="宋体" w:cs="Times New Roman"/>
          <w:sz w:val="24"/>
          <w:szCs w:val="24"/>
        </w:rPr>
        <w:t>20</w:t>
      </w:r>
      <w:r>
        <w:rPr>
          <w:rFonts w:hint="eastAsia" w:ascii="宋体" w:hAnsi="宋体" w:eastAsia="宋体" w:cs="Times New Roman"/>
          <w:sz w:val="24"/>
          <w:szCs w:val="24"/>
        </w:rPr>
        <w:t>条。</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8）台架系统集成测试：测试内容至少覆盖物理层、数据链路层、交互层、直接网络管理、网络容错性测试，测试用例数量至少</w:t>
      </w:r>
      <w:r>
        <w:rPr>
          <w:rFonts w:ascii="宋体" w:hAnsi="宋体" w:eastAsia="宋体" w:cs="Times New Roman"/>
          <w:sz w:val="24"/>
          <w:szCs w:val="24"/>
        </w:rPr>
        <w:t>20</w:t>
      </w:r>
      <w:r>
        <w:rPr>
          <w:rFonts w:hint="eastAsia" w:ascii="宋体" w:hAnsi="宋体" w:eastAsia="宋体" w:cs="Times New Roman"/>
          <w:sz w:val="24"/>
          <w:szCs w:val="24"/>
        </w:rPr>
        <w:t>条。</w:t>
      </w:r>
    </w:p>
    <w:bookmarkEnd w:id="39"/>
    <w:p>
      <w:pPr>
        <w:keepNext/>
        <w:keepLines/>
        <w:spacing w:line="376" w:lineRule="auto"/>
        <w:outlineLvl w:val="4"/>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.5</w:t>
      </w:r>
      <w:r>
        <w:rPr>
          <w:rFonts w:hint="eastAsia" w:ascii="宋体" w:hAnsi="宋体" w:eastAsia="宋体" w:cs="Times New Roman"/>
          <w:sz w:val="24"/>
          <w:szCs w:val="24"/>
        </w:rPr>
        <w:t>测试用脚本要求</w:t>
      </w:r>
    </w:p>
    <w:p>
      <w:pPr>
        <w:spacing w:line="420" w:lineRule="exact"/>
        <w:ind w:firstLine="480" w:firstLineChars="200"/>
        <w:rPr>
          <w:rFonts w:ascii="宋体" w:hAnsi="宋体" w:eastAsia="宋体" w:cs="Times New Roman"/>
          <w:sz w:val="24"/>
          <w:szCs w:val="24"/>
        </w:rPr>
      </w:pPr>
      <w:r>
        <w:rPr>
          <w:rFonts w:hint="eastAsia" w:ascii="宋体" w:hAnsi="宋体" w:eastAsia="宋体" w:cs="宋体"/>
          <w:sz w:val="24"/>
          <w:szCs w:val="24"/>
        </w:rPr>
        <w:t>投标方提供的软件模型及脚本，需逻辑清晰，功能完整。脚本测试条目与测试用例的条目一一对应且具有索引标记；</w:t>
      </w:r>
      <w:r>
        <w:rPr>
          <w:rFonts w:hint="eastAsia" w:ascii="宋体" w:hAnsi="宋体" w:eastAsia="宋体" w:cs="Times New Roman"/>
          <w:sz w:val="24"/>
          <w:szCs w:val="24"/>
        </w:rPr>
        <w:t>软件模型及脚本中所有参数，必须有相应的中文说明及应用范围，有对应关系索引说明文档，确保提供的测试中的所有参数，招标方技术人员能在软件模型及脚本中易于找到和编辑</w:t>
      </w:r>
      <w:r>
        <w:rPr>
          <w:rFonts w:hint="eastAsia" w:ascii="宋体" w:hAnsi="宋体" w:eastAsia="宋体" w:cs="宋体"/>
          <w:sz w:val="24"/>
          <w:szCs w:val="24"/>
        </w:rPr>
        <w:t>。</w:t>
      </w:r>
    </w:p>
    <w:p>
      <w:pPr>
        <w:keepNext/>
        <w:keepLines/>
        <w:spacing w:line="416" w:lineRule="auto"/>
        <w:outlineLvl w:val="3"/>
        <w:rPr>
          <w:rFonts w:ascii="宋体" w:hAnsi="宋体" w:eastAsia="宋体" w:cs="Times New Roman"/>
          <w:b/>
          <w:bCs/>
          <w:sz w:val="24"/>
          <w:szCs w:val="24"/>
        </w:rPr>
      </w:pPr>
      <w:r>
        <w:rPr>
          <w:rFonts w:ascii="宋体" w:hAnsi="宋体" w:eastAsia="宋体" w:cs="Times New Roman"/>
          <w:b/>
          <w:bCs/>
          <w:sz w:val="24"/>
          <w:szCs w:val="24"/>
        </w:rPr>
        <w:t>2.</w:t>
      </w:r>
      <w:bookmarkStart w:id="40" w:name="_Hlk131757356"/>
      <w:r>
        <w:rPr>
          <w:rFonts w:hint="eastAsia" w:ascii="宋体" w:hAnsi="宋体" w:eastAsia="宋体" w:cs="Times New Roman"/>
          <w:b/>
          <w:bCs/>
          <w:sz w:val="24"/>
          <w:szCs w:val="24"/>
        </w:rPr>
        <w:t>车载以太网测试系统</w:t>
      </w:r>
      <w:bookmarkEnd w:id="40"/>
      <w:r>
        <w:rPr>
          <w:rFonts w:hint="eastAsia" w:ascii="宋体" w:hAnsi="宋体" w:eastAsia="宋体" w:cs="Times New Roman"/>
          <w:b/>
          <w:bCs/>
          <w:sz w:val="24"/>
          <w:szCs w:val="24"/>
        </w:rPr>
        <w:t>要求</w:t>
      </w:r>
    </w:p>
    <w:p>
      <w:pPr>
        <w:keepNext/>
        <w:keepLines/>
        <w:spacing w:line="376" w:lineRule="auto"/>
        <w:outlineLvl w:val="4"/>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w:t>
      </w:r>
      <w:r>
        <w:rPr>
          <w:rFonts w:ascii="宋体" w:hAnsi="宋体" w:eastAsia="宋体" w:cs="Times New Roman"/>
          <w:sz w:val="24"/>
          <w:szCs w:val="24"/>
        </w:rPr>
        <w:t>1</w:t>
      </w:r>
      <w:r>
        <w:rPr>
          <w:rFonts w:hint="eastAsia" w:ascii="宋体" w:hAnsi="宋体" w:eastAsia="宋体" w:cs="Times New Roman"/>
          <w:sz w:val="24"/>
          <w:szCs w:val="24"/>
        </w:rPr>
        <w:t>系统总体功能要求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）车载以太网测试系统主体须采用标准19英寸机柜，具备车载以太网总线</w:t>
      </w:r>
      <w:r>
        <w:rPr>
          <w:rFonts w:ascii="宋体" w:hAnsi="宋体" w:eastAsia="宋体" w:cs="Times New Roman"/>
          <w:sz w:val="24"/>
          <w:szCs w:val="24"/>
        </w:rPr>
        <w:t>L</w:t>
      </w:r>
      <w:r>
        <w:rPr>
          <w:rFonts w:hint="eastAsia" w:ascii="宋体" w:hAnsi="宋体" w:eastAsia="宋体" w:cs="Times New Roman"/>
          <w:sz w:val="24"/>
          <w:szCs w:val="24"/>
        </w:rPr>
        <w:t>1～</w:t>
      </w:r>
      <w:r>
        <w:rPr>
          <w:rFonts w:ascii="宋体" w:hAnsi="宋体" w:eastAsia="宋体" w:cs="Times New Roman"/>
          <w:sz w:val="24"/>
          <w:szCs w:val="24"/>
        </w:rPr>
        <w:t>L</w:t>
      </w:r>
      <w:r>
        <w:rPr>
          <w:rFonts w:hint="eastAsia" w:ascii="宋体" w:hAnsi="宋体" w:eastAsia="宋体" w:cs="Times New Roman"/>
          <w:sz w:val="24"/>
          <w:szCs w:val="24"/>
        </w:rPr>
        <w:t>7层通信标准自动化测试、测试报告生成功能。满足12V、24V、48V电气系统控制器测试需求。系统具有良好的扩展性，满足不同车型不同版本控制器切换的测试需求扩展，测试脚本可通过软件面板进行二次配置开发，方便进行延伸和变更。</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2）系统应覆盖但不限于如下测试功能：</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车载以太网100BASE-T1物理层测试（基于OPEN联盟TC8标准的P</w:t>
      </w:r>
      <w:r>
        <w:rPr>
          <w:rFonts w:ascii="宋体" w:hAnsi="宋体" w:eastAsia="宋体" w:cs="Times New Roman"/>
          <w:sz w:val="24"/>
          <w:szCs w:val="24"/>
        </w:rPr>
        <w:t>MA</w:t>
      </w:r>
      <w:r>
        <w:rPr>
          <w:rFonts w:hint="eastAsia" w:ascii="宋体" w:hAnsi="宋体" w:eastAsia="宋体" w:cs="Times New Roman"/>
          <w:sz w:val="24"/>
          <w:szCs w:val="24"/>
        </w:rPr>
        <w:t>和I</w:t>
      </w:r>
      <w:r>
        <w:rPr>
          <w:rFonts w:ascii="宋体" w:hAnsi="宋体" w:eastAsia="宋体" w:cs="Times New Roman"/>
          <w:sz w:val="24"/>
          <w:szCs w:val="24"/>
        </w:rPr>
        <w:t>OP</w:t>
      </w:r>
      <w:r>
        <w:rPr>
          <w:rFonts w:hint="eastAsia" w:ascii="宋体" w:hAnsi="宋体" w:eastAsia="宋体" w:cs="Times New Roman"/>
          <w:sz w:val="24"/>
          <w:szCs w:val="24"/>
        </w:rPr>
        <w:t>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车载以太网1000BASE-T1物理层测试（基于OPEN联盟T</w:t>
      </w:r>
      <w:r>
        <w:rPr>
          <w:rFonts w:ascii="宋体" w:hAnsi="宋体" w:eastAsia="宋体" w:cs="Times New Roman"/>
          <w:sz w:val="24"/>
          <w:szCs w:val="24"/>
        </w:rPr>
        <w:t>C12</w:t>
      </w:r>
      <w:r>
        <w:rPr>
          <w:rFonts w:hint="eastAsia" w:ascii="宋体" w:hAnsi="宋体" w:eastAsia="宋体" w:cs="Times New Roman"/>
          <w:sz w:val="24"/>
          <w:szCs w:val="24"/>
        </w:rPr>
        <w:t>标准的P</w:t>
      </w:r>
      <w:r>
        <w:rPr>
          <w:rFonts w:ascii="宋体" w:hAnsi="宋体" w:eastAsia="宋体" w:cs="Times New Roman"/>
          <w:sz w:val="24"/>
          <w:szCs w:val="24"/>
        </w:rPr>
        <w:t>MA</w:t>
      </w:r>
      <w:r>
        <w:rPr>
          <w:rFonts w:hint="eastAsia" w:ascii="宋体" w:hAnsi="宋体" w:eastAsia="宋体" w:cs="Times New Roman"/>
          <w:sz w:val="24"/>
          <w:szCs w:val="24"/>
        </w:rPr>
        <w:t>和I</w:t>
      </w:r>
      <w:r>
        <w:rPr>
          <w:rFonts w:ascii="宋体" w:hAnsi="宋体" w:eastAsia="宋体" w:cs="Times New Roman"/>
          <w:sz w:val="24"/>
          <w:szCs w:val="24"/>
        </w:rPr>
        <w:t>OP</w:t>
      </w:r>
      <w:r>
        <w:rPr>
          <w:rFonts w:hint="eastAsia" w:ascii="宋体" w:hAnsi="宋体" w:eastAsia="宋体" w:cs="Times New Roman"/>
          <w:sz w:val="24"/>
          <w:szCs w:val="24"/>
        </w:rPr>
        <w:t>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基于OPEN联盟TC8标准的</w:t>
      </w:r>
      <w:r>
        <w:rPr>
          <w:rFonts w:ascii="宋体" w:hAnsi="宋体" w:eastAsia="宋体" w:cs="Times New Roman"/>
          <w:sz w:val="24"/>
          <w:szCs w:val="24"/>
        </w:rPr>
        <w:t>L</w:t>
      </w:r>
      <w:r>
        <w:rPr>
          <w:rFonts w:hint="eastAsia" w:ascii="宋体" w:hAnsi="宋体" w:eastAsia="宋体" w:cs="Times New Roman"/>
          <w:sz w:val="24"/>
          <w:szCs w:val="24"/>
        </w:rPr>
        <w:t>2～</w:t>
      </w:r>
      <w:r>
        <w:rPr>
          <w:rFonts w:ascii="宋体" w:hAnsi="宋体" w:eastAsia="宋体" w:cs="Times New Roman"/>
          <w:sz w:val="24"/>
          <w:szCs w:val="24"/>
        </w:rPr>
        <w:t>L</w:t>
      </w:r>
      <w:r>
        <w:rPr>
          <w:rFonts w:hint="eastAsia" w:ascii="宋体" w:hAnsi="宋体" w:eastAsia="宋体" w:cs="Times New Roman"/>
          <w:sz w:val="24"/>
          <w:szCs w:val="24"/>
        </w:rPr>
        <w:t>7层一致性测试；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交换机性能测试（满足RFC</w:t>
      </w:r>
      <w:r>
        <w:rPr>
          <w:rFonts w:ascii="宋体" w:hAnsi="宋体" w:eastAsia="宋体" w:cs="Times New Roman"/>
          <w:sz w:val="24"/>
          <w:szCs w:val="24"/>
        </w:rPr>
        <w:t xml:space="preserve"> </w:t>
      </w:r>
      <w:r>
        <w:rPr>
          <w:rFonts w:hint="eastAsia" w:ascii="宋体" w:hAnsi="宋体" w:eastAsia="宋体" w:cs="Times New Roman"/>
          <w:sz w:val="24"/>
          <w:szCs w:val="24"/>
        </w:rPr>
        <w:t>2544、RFC</w:t>
      </w:r>
      <w:r>
        <w:rPr>
          <w:rFonts w:ascii="宋体" w:hAnsi="宋体" w:eastAsia="宋体" w:cs="Times New Roman"/>
          <w:sz w:val="24"/>
          <w:szCs w:val="24"/>
        </w:rPr>
        <w:t xml:space="preserve"> </w:t>
      </w:r>
      <w:r>
        <w:rPr>
          <w:rFonts w:hint="eastAsia" w:ascii="宋体" w:hAnsi="宋体" w:eastAsia="宋体" w:cs="Times New Roman"/>
          <w:sz w:val="24"/>
          <w:szCs w:val="24"/>
        </w:rPr>
        <w:t>2889）；</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交换机功能测试；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TCP/IP协议（满足OPEN联盟TC8）；</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SOME/IP协议一致性测试（满足OPEN联盟TC8）；</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单部件基础通信测试；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网关路由测试；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DoIP协议测试；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刷写测试；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UDS（onIP）测试；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AVB协议一致性及配置测试；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TSN协议一致性及配置测试；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UDPNM以太网网络管理测试；</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系统通信测试。</w:t>
      </w:r>
    </w:p>
    <w:p>
      <w:pPr>
        <w:keepNext/>
        <w:keepLines/>
        <w:spacing w:line="376" w:lineRule="auto"/>
        <w:outlineLvl w:val="4"/>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2测试系统硬件要求</w:t>
      </w:r>
    </w:p>
    <w:p>
      <w:pPr>
        <w:keepNext/>
        <w:keepLines/>
        <w:spacing w:line="376" w:lineRule="auto"/>
        <w:outlineLvl w:val="5"/>
        <w:rPr>
          <w:rFonts w:ascii="宋体" w:hAnsi="宋体" w:eastAsia="宋体" w:cs="Times New Roman"/>
          <w:sz w:val="24"/>
          <w:szCs w:val="24"/>
        </w:rPr>
      </w:pPr>
      <w:r>
        <w:rPr>
          <w:rFonts w:ascii="宋体" w:hAnsi="宋体" w:eastAsia="宋体" w:cs="Times New Roman"/>
          <w:sz w:val="24"/>
          <w:szCs w:val="24"/>
        </w:rPr>
        <w:t>2.2.1</w:t>
      </w:r>
      <w:r>
        <w:rPr>
          <w:rFonts w:hint="eastAsia" w:ascii="宋体" w:hAnsi="宋体" w:eastAsia="宋体" w:cs="Times New Roman"/>
          <w:sz w:val="24"/>
          <w:szCs w:val="24"/>
        </w:rPr>
        <w:t>总体要求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1）系统各测试硬件独立安装（示波器、总线接口卡、矢量网络分析仪等），方便拆卸，可支持手动、自动测试。</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）系统硬件可通过测试软件进行手动控制操作，测试软件应包含独立的控制面板，对机柜上的各种硬件进行控制操作，便于后续的调试过程应用。</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3）硬件须具备电源管理模块，实现用电分配、控制、保护等功能，具备有独立开关实现启动和关闭，必须配置急停开关等保护操作按钮，具备防止突然断电或短路等而损坏设备的自我保护能力。</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4）硬件须具备电流采集模块，实现静态电流和正常电流的采集功能。</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5）硬件须具备信号（包括总线信号）测量端口，便于对每个信号源进行人为检测和校正。</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6）硬件须具备测试所需的网络接口，且通道数量满足测试要求。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7）硬件须采用专业的连接器与被测控制器相连接，不使用其他工具即可完成连接，并具备通用性，易操作性，任何控制器都可通过软件的配置实现接口类型的匹配；接口资源的分配应具有合理性。</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8）系统硬件采用合理化线束布置，满足控制器的电气特性要求，走线安全、合理、美观、清晰，机柜内部线束用不同颜色来区分不同类型的信号，并在线束端部做线号标记。</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9）系统采用标准</w:t>
      </w:r>
      <w:r>
        <w:rPr>
          <w:rFonts w:ascii="宋体" w:hAnsi="宋体" w:eastAsia="宋体" w:cs="Times New Roman"/>
          <w:sz w:val="24"/>
          <w:szCs w:val="24"/>
        </w:rPr>
        <w:t>19</w:t>
      </w:r>
      <w:r>
        <w:rPr>
          <w:rFonts w:hint="eastAsia" w:ascii="宋体" w:hAnsi="宋体" w:eastAsia="宋体" w:cs="Times New Roman"/>
          <w:sz w:val="24"/>
          <w:szCs w:val="24"/>
        </w:rPr>
        <w:t>英寸机柜，采用立式安装方式，系统所有测试组件集成于此机柜。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10）设备应具有高鲁棒性，支持24小时以上连续运行及测试数据记录功能；系统机柜需具有良好的散热，能够保障系统的长效可靠运行。</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11）对硬件板卡的软件控制精度应满足系统测试要求。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12）支持多路电源输出切换，可以模拟如KL30、KL15、GND等ECU所需的电源，同时监控电压和电流。</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13）硬件具有良好的扩展性，适用于不同车型不同控制器的版本变更，可通过软件进行二次配置，进行同一平台延伸或不同平台的变更。</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w:t>
      </w:r>
      <w:r>
        <w:rPr>
          <w:rFonts w:ascii="宋体" w:hAnsi="宋体" w:eastAsia="宋体" w:cs="Times New Roman"/>
          <w:sz w:val="24"/>
          <w:szCs w:val="24"/>
        </w:rPr>
        <w:t>4</w:t>
      </w:r>
      <w:r>
        <w:rPr>
          <w:rFonts w:hint="eastAsia" w:ascii="宋体" w:hAnsi="宋体" w:eastAsia="宋体" w:cs="Times New Roman"/>
          <w:sz w:val="24"/>
          <w:szCs w:val="24"/>
        </w:rPr>
        <w:t>）系统机柜底部带有滚轮，且滚轮带有锁止装置，可以移动与锁止。</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.2.2</w:t>
      </w:r>
      <w:r>
        <w:rPr>
          <w:rFonts w:hint="eastAsia" w:ascii="宋体" w:hAnsi="宋体" w:eastAsia="宋体" w:cs="Times New Roman"/>
          <w:sz w:val="24"/>
          <w:szCs w:val="24"/>
        </w:rPr>
        <w:t>电源控制模块要求</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电源控制模块用于控制测试系统的整体供电，控制电源的通断。硬件参数要求如下：</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具备短路保护和紧急停止功能；</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具备防止突然断电或短路等而损坏设备的自我保护能力；</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有独立开关实现启动和关闭；</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输入为220V标准电压，为机柜中其它集成的测试设备供电。</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.2.3</w:t>
      </w:r>
      <w:r>
        <w:rPr>
          <w:rFonts w:hint="eastAsia" w:ascii="宋体" w:hAnsi="宋体" w:eastAsia="宋体" w:cs="Times New Roman"/>
          <w:sz w:val="24"/>
          <w:szCs w:val="24"/>
        </w:rPr>
        <w:t>程控电源要求</w:t>
      </w:r>
    </w:p>
    <w:p>
      <w:pPr>
        <w:ind w:firstLine="420"/>
        <w:rPr>
          <w:rFonts w:ascii="宋体" w:hAnsi="宋体" w:eastAsia="宋体" w:cs="Times New Roman"/>
          <w:sz w:val="24"/>
          <w:szCs w:val="24"/>
        </w:rPr>
      </w:pPr>
      <w:r>
        <w:rPr>
          <w:rFonts w:hint="eastAsia" w:ascii="宋体" w:hAnsi="宋体" w:eastAsia="宋体" w:cs="Times New Roman"/>
          <w:sz w:val="24"/>
          <w:szCs w:val="24"/>
        </w:rPr>
        <w:t>选用进口一线品牌，如</w:t>
      </w:r>
      <w:r>
        <w:rPr>
          <w:rFonts w:ascii="宋体" w:hAnsi="宋体" w:eastAsia="宋体" w:cs="Times New Roman"/>
          <w:sz w:val="24"/>
          <w:szCs w:val="24"/>
        </w:rPr>
        <w:t>K</w:t>
      </w:r>
      <w:r>
        <w:rPr>
          <w:rFonts w:hint="eastAsia" w:ascii="宋体" w:hAnsi="宋体" w:eastAsia="宋体" w:cs="Times New Roman"/>
          <w:sz w:val="24"/>
          <w:szCs w:val="24"/>
        </w:rPr>
        <w:t>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Elektro-Automatik</w:t>
      </w:r>
      <w:r>
        <w:rPr>
          <w:rFonts w:hint="eastAsia" w:ascii="宋体" w:hAnsi="宋体" w:eastAsia="宋体" w:cs="Times New Roman"/>
          <w:sz w:val="24"/>
          <w:szCs w:val="24"/>
        </w:rPr>
        <w:t>。可同时进行程控和手动调节电压值，具备USB/GPIB/Ethernet程控接口。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输出电压：≥</w:t>
      </w:r>
      <w:r>
        <w:rPr>
          <w:rFonts w:ascii="宋体" w:hAnsi="宋体" w:eastAsia="宋体" w:cs="Times New Roman"/>
          <w:sz w:val="24"/>
          <w:szCs w:val="24"/>
        </w:rPr>
        <w:t>6</w:t>
      </w:r>
      <w:r>
        <w:rPr>
          <w:rFonts w:hint="eastAsia" w:ascii="宋体" w:hAnsi="宋体" w:eastAsia="宋体" w:cs="Times New Roman"/>
          <w:sz w:val="24"/>
          <w:szCs w:val="24"/>
        </w:rPr>
        <w:t>0V</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输出电流：≥</w:t>
      </w:r>
      <w:r>
        <w:rPr>
          <w:rFonts w:ascii="宋体" w:hAnsi="宋体" w:eastAsia="宋体" w:cs="Times New Roman"/>
          <w:sz w:val="24"/>
          <w:szCs w:val="24"/>
        </w:rPr>
        <w:t>25</w:t>
      </w:r>
      <w:r>
        <w:rPr>
          <w:rFonts w:hint="eastAsia" w:ascii="宋体" w:hAnsi="宋体" w:eastAsia="宋体" w:cs="Times New Roman"/>
          <w:sz w:val="24"/>
          <w:szCs w:val="24"/>
        </w:rPr>
        <w:t>A</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电压精度：不低于0.05%；</w:t>
      </w:r>
    </w:p>
    <w:p>
      <w:pPr>
        <w:spacing w:line="420" w:lineRule="exact"/>
        <w:ind w:firstLine="480" w:firstLineChars="200"/>
        <w:rPr>
          <w:rFonts w:ascii="宋体" w:hAnsi="宋体" w:eastAsia="宋体" w:cs="Times New Roman"/>
          <w:b/>
          <w:bCs/>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电流精度：不低于0.1%。</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.2.4</w:t>
      </w:r>
      <w:r>
        <w:rPr>
          <w:rFonts w:hint="eastAsia" w:ascii="宋体" w:hAnsi="宋体" w:eastAsia="宋体" w:cs="Times New Roman"/>
          <w:sz w:val="24"/>
          <w:szCs w:val="24"/>
        </w:rPr>
        <w:t>示波器要求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选用进口一线品牌，如Keysight、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Teledyne LeCroy</w:t>
      </w:r>
      <w:r>
        <w:rPr>
          <w:rFonts w:hint="eastAsia" w:ascii="宋体" w:hAnsi="宋体" w:eastAsia="宋体" w:cs="Times New Roman"/>
          <w:sz w:val="24"/>
          <w:szCs w:val="24"/>
        </w:rPr>
        <w:t>。满足以太网测试对信号输出特性的捕捉、测量及分析要求。具有</w:t>
      </w:r>
      <w:r>
        <w:rPr>
          <w:rFonts w:ascii="宋体" w:hAnsi="宋体" w:eastAsia="宋体" w:cs="Times New Roman"/>
          <w:sz w:val="24"/>
          <w:szCs w:val="24"/>
        </w:rPr>
        <w:t>USB/Ethernet</w:t>
      </w:r>
      <w:r>
        <w:rPr>
          <w:rFonts w:hint="eastAsia" w:ascii="宋体" w:hAnsi="宋体" w:eastAsia="宋体" w:cs="Times New Roman"/>
          <w:sz w:val="24"/>
          <w:szCs w:val="24"/>
        </w:rPr>
        <w:t>等程控接口。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配备差分探头，具有常规示波器的使用功能；</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通道数：≥4路模拟采集通道；</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带宽：≥2.5GHz；</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最高实时采样率:≥10GSa/s(4通道)；</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测量时自动获取波特率；</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触屏操作显示；</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含车载以太网测试夹具1套；</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可以关联矢量网络分析仪进行回波损耗和模式转换的测试；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设备控制端口：可通过程控接口对设备进行远程控制，实现捕获数据、截图等功能。</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.2.5</w:t>
      </w:r>
      <w:r>
        <w:rPr>
          <w:rFonts w:hint="eastAsia" w:ascii="宋体" w:hAnsi="宋体" w:eastAsia="宋体" w:cs="Times New Roman"/>
          <w:sz w:val="24"/>
          <w:szCs w:val="24"/>
        </w:rPr>
        <w:t>矢量网络分析仪</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选用进口一线品牌，如Keysight、</w:t>
      </w:r>
      <w:r>
        <w:rPr>
          <w:rFonts w:ascii="宋体" w:hAnsi="宋体" w:eastAsia="宋体" w:cs="Times New Roman"/>
          <w:sz w:val="24"/>
          <w:szCs w:val="24"/>
        </w:rPr>
        <w:t>Rohde&amp;Schwarz</w:t>
      </w:r>
      <w:r>
        <w:rPr>
          <w:rFonts w:hint="eastAsia" w:ascii="宋体" w:hAnsi="宋体" w:eastAsia="宋体" w:cs="Times New Roman"/>
          <w:sz w:val="24"/>
          <w:szCs w:val="24"/>
        </w:rPr>
        <w:t>、</w:t>
      </w:r>
      <w:r>
        <w:rPr>
          <w:rFonts w:ascii="宋体" w:hAnsi="宋体" w:eastAsia="宋体" w:cs="Times New Roman"/>
          <w:sz w:val="24"/>
          <w:szCs w:val="24"/>
        </w:rPr>
        <w:t>Teledyne LeCroy</w:t>
      </w:r>
      <w:r>
        <w:rPr>
          <w:rFonts w:hint="eastAsia" w:ascii="宋体" w:hAnsi="宋体" w:eastAsia="宋体" w:cs="Times New Roman"/>
          <w:sz w:val="24"/>
          <w:szCs w:val="24"/>
        </w:rPr>
        <w:t>。满足以太网物理层测试要求。具有</w:t>
      </w:r>
      <w:r>
        <w:rPr>
          <w:rFonts w:ascii="宋体" w:hAnsi="宋体" w:eastAsia="宋体" w:cs="Times New Roman"/>
          <w:sz w:val="24"/>
          <w:szCs w:val="24"/>
        </w:rPr>
        <w:t>USB/Ethernet</w:t>
      </w:r>
      <w:r>
        <w:rPr>
          <w:rFonts w:hint="eastAsia" w:ascii="宋体" w:hAnsi="宋体" w:eastAsia="宋体" w:cs="Times New Roman"/>
          <w:sz w:val="24"/>
          <w:szCs w:val="24"/>
        </w:rPr>
        <w:t>等程控接口。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测试端口数量：≥2个；</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频率范围：9KHz到4.5GHz；</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可满足100/1000BASE-T1节点测试需求，支持以太网回波损耗和模式转换测试；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SMA线缆4根（适配端口数）。</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.2.6</w:t>
      </w:r>
      <w:r>
        <w:rPr>
          <w:rFonts w:hint="eastAsia" w:ascii="宋体" w:hAnsi="宋体" w:eastAsia="宋体" w:cs="Times New Roman"/>
          <w:sz w:val="24"/>
          <w:szCs w:val="24"/>
        </w:rPr>
        <w:t>信号发生器要求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满足以太网物理层P</w:t>
      </w:r>
      <w:r>
        <w:rPr>
          <w:rFonts w:ascii="宋体" w:hAnsi="宋体" w:eastAsia="宋体" w:cs="Times New Roman"/>
          <w:sz w:val="24"/>
          <w:szCs w:val="24"/>
        </w:rPr>
        <w:t>MA</w:t>
      </w:r>
      <w:r>
        <w:rPr>
          <w:rFonts w:hint="eastAsia" w:ascii="宋体" w:hAnsi="宋体" w:eastAsia="宋体" w:cs="Times New Roman"/>
          <w:sz w:val="24"/>
          <w:szCs w:val="24"/>
        </w:rPr>
        <w:t>及I</w:t>
      </w:r>
      <w:r>
        <w:rPr>
          <w:rFonts w:ascii="宋体" w:hAnsi="宋体" w:eastAsia="宋体" w:cs="Times New Roman"/>
          <w:sz w:val="24"/>
          <w:szCs w:val="24"/>
        </w:rPr>
        <w:t>OP</w:t>
      </w:r>
      <w:r>
        <w:rPr>
          <w:rFonts w:hint="eastAsia" w:ascii="宋体" w:hAnsi="宋体" w:eastAsia="宋体" w:cs="Times New Roman"/>
          <w:sz w:val="24"/>
          <w:szCs w:val="24"/>
        </w:rPr>
        <w:t>测试要求。具有</w:t>
      </w:r>
      <w:r>
        <w:rPr>
          <w:rFonts w:ascii="宋体" w:hAnsi="宋体" w:eastAsia="宋体" w:cs="Times New Roman"/>
          <w:sz w:val="24"/>
          <w:szCs w:val="24"/>
        </w:rPr>
        <w:t>USB/Ethernet</w:t>
      </w:r>
      <w:r>
        <w:rPr>
          <w:rFonts w:hint="eastAsia" w:ascii="宋体" w:hAnsi="宋体" w:eastAsia="宋体" w:cs="Times New Roman"/>
          <w:sz w:val="24"/>
          <w:szCs w:val="24"/>
        </w:rPr>
        <w:t>等程控接口。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通道数：</w:t>
      </w:r>
      <w:r>
        <w:rPr>
          <w:rFonts w:ascii="宋体" w:hAnsi="宋体" w:eastAsia="宋体" w:cs="Times New Roman"/>
          <w:sz w:val="24"/>
          <w:szCs w:val="24"/>
        </w:rPr>
        <w:t>2</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正弦波带宽：</w:t>
      </w:r>
      <w:r>
        <w:rPr>
          <w:rFonts w:ascii="宋体" w:hAnsi="宋体" w:eastAsia="宋体" w:cs="Times New Roman"/>
          <w:sz w:val="24"/>
          <w:szCs w:val="24"/>
        </w:rPr>
        <w:t>240MHz</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正弦波频率分辨率：</w:t>
      </w:r>
      <w:r>
        <w:rPr>
          <w:rFonts w:ascii="宋体" w:hAnsi="宋体" w:eastAsia="宋体" w:cs="Times New Roman"/>
          <w:sz w:val="24"/>
          <w:szCs w:val="24"/>
        </w:rPr>
        <w:t>1μHz</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可发出</w:t>
      </w:r>
      <w:r>
        <w:rPr>
          <w:rFonts w:ascii="宋体" w:hAnsi="宋体" w:eastAsia="宋体" w:cs="Times New Roman"/>
          <w:sz w:val="24"/>
          <w:szCs w:val="24"/>
        </w:rPr>
        <w:t>11.111MHz/5.4Vpp</w:t>
      </w:r>
      <w:r>
        <w:rPr>
          <w:rFonts w:hint="eastAsia" w:ascii="宋体" w:hAnsi="宋体" w:eastAsia="宋体" w:cs="Times New Roman"/>
          <w:sz w:val="24"/>
          <w:szCs w:val="24"/>
        </w:rPr>
        <w:t>的正弦波；</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可发出</w:t>
      </w:r>
      <w:r>
        <w:rPr>
          <w:rFonts w:ascii="宋体" w:hAnsi="宋体" w:eastAsia="宋体" w:cs="Times New Roman"/>
          <w:sz w:val="24"/>
          <w:szCs w:val="24"/>
        </w:rPr>
        <w:t>125MHz/3.6Vpp</w:t>
      </w:r>
      <w:r>
        <w:rPr>
          <w:rFonts w:hint="eastAsia" w:ascii="宋体" w:hAnsi="宋体" w:eastAsia="宋体" w:cs="Times New Roman"/>
          <w:sz w:val="24"/>
          <w:szCs w:val="24"/>
        </w:rPr>
        <w:t>的正弦波；</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能够产生高斯干扰，</w:t>
      </w:r>
      <w:r>
        <w:rPr>
          <w:rFonts w:ascii="宋体" w:hAnsi="宋体" w:eastAsia="宋体" w:cs="Times New Roman"/>
          <w:sz w:val="24"/>
          <w:szCs w:val="24"/>
        </w:rPr>
        <w:t>80MHz</w:t>
      </w:r>
      <w:r>
        <w:rPr>
          <w:rFonts w:hint="eastAsia" w:ascii="宋体" w:hAnsi="宋体" w:eastAsia="宋体" w:cs="Times New Roman"/>
          <w:sz w:val="24"/>
          <w:szCs w:val="24"/>
        </w:rPr>
        <w:t>带宽，可调幅度：</w:t>
      </w:r>
      <w:r>
        <w:rPr>
          <w:rFonts w:ascii="宋体" w:hAnsi="宋体" w:eastAsia="宋体" w:cs="Times New Roman"/>
          <w:sz w:val="24"/>
          <w:szCs w:val="24"/>
        </w:rPr>
        <w:t>0</w:t>
      </w:r>
      <w:r>
        <w:rPr>
          <w:rFonts w:hint="eastAsia" w:ascii="宋体" w:hAnsi="宋体" w:eastAsia="宋体" w:cs="Times New Roman"/>
          <w:sz w:val="24"/>
          <w:szCs w:val="24"/>
        </w:rPr>
        <w:t>～</w:t>
      </w:r>
      <w:r>
        <w:rPr>
          <w:rFonts w:ascii="宋体" w:hAnsi="宋体" w:eastAsia="宋体" w:cs="Times New Roman"/>
          <w:sz w:val="24"/>
          <w:szCs w:val="24"/>
        </w:rPr>
        <w:t>5Vpp</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能够产生</w:t>
      </w:r>
      <w:r>
        <w:rPr>
          <w:rFonts w:ascii="宋体" w:hAnsi="宋体" w:eastAsia="宋体" w:cs="Times New Roman"/>
          <w:sz w:val="24"/>
          <w:szCs w:val="24"/>
        </w:rPr>
        <w:t>550MHz</w:t>
      </w:r>
      <w:r>
        <w:rPr>
          <w:rFonts w:hint="eastAsia" w:ascii="宋体" w:hAnsi="宋体" w:eastAsia="宋体" w:cs="Times New Roman"/>
          <w:sz w:val="24"/>
          <w:szCs w:val="24"/>
        </w:rPr>
        <w:t>的高斯噪声。</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.2.7 </w:t>
      </w:r>
      <w:r>
        <w:rPr>
          <w:rFonts w:hint="eastAsia" w:ascii="宋体" w:hAnsi="宋体" w:eastAsia="宋体" w:cs="Times New Roman"/>
          <w:sz w:val="24"/>
          <w:szCs w:val="24"/>
        </w:rPr>
        <w:t>IOP测试设备要求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IOP测试设备需满足物理层互操作性测试要求。硬件参数要求如下：</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满足TC8 V3.0物理层IOP所有的测试需求（包含千兆以太网口的测试需求）；</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支持物理链路连接状态的监测和读取；</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满足</w:t>
      </w:r>
      <w:r>
        <w:rPr>
          <w:rFonts w:ascii="宋体" w:hAnsi="宋体" w:eastAsia="宋体" w:cs="Times New Roman"/>
          <w:sz w:val="24"/>
          <w:szCs w:val="24"/>
        </w:rPr>
        <w:t>TC12</w:t>
      </w:r>
      <w:r>
        <w:rPr>
          <w:rFonts w:hint="eastAsia" w:ascii="宋体" w:hAnsi="宋体" w:eastAsia="宋体" w:cs="Times New Roman"/>
          <w:sz w:val="24"/>
          <w:szCs w:val="24"/>
        </w:rPr>
        <w:t>物理层</w:t>
      </w:r>
      <w:r>
        <w:rPr>
          <w:rFonts w:ascii="宋体" w:hAnsi="宋体" w:eastAsia="宋体" w:cs="Times New Roman"/>
          <w:sz w:val="24"/>
          <w:szCs w:val="24"/>
        </w:rPr>
        <w:t>IOP</w:t>
      </w:r>
      <w:r>
        <w:rPr>
          <w:rFonts w:hint="eastAsia" w:ascii="宋体" w:hAnsi="宋体" w:eastAsia="宋体" w:cs="Times New Roman"/>
          <w:sz w:val="24"/>
          <w:szCs w:val="24"/>
        </w:rPr>
        <w:t>的测试需求；</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能够实现对外部被测对象的供电控制</w:t>
      </w:r>
      <w:r>
        <w:rPr>
          <w:rFonts w:hint="eastAsia" w:ascii="宋体" w:hAnsi="宋体" w:eastAsia="宋体" w:cs="MS Gothic"/>
          <w:sz w:val="24"/>
          <w:szCs w:val="24"/>
        </w:rPr>
        <w:t>，</w:t>
      </w:r>
      <w:r>
        <w:rPr>
          <w:rFonts w:hint="eastAsia" w:ascii="宋体" w:hAnsi="宋体" w:eastAsia="宋体" w:cs="Times New Roman"/>
          <w:sz w:val="24"/>
          <w:szCs w:val="24"/>
        </w:rPr>
        <w:t>实现对外部被测对象通信线路的开路、短路等线缆故障的模拟；</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至少具备1个100BASE-T1及1个1000BASE-T1接口，用于连接车载以太网被测节点；</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支持Master、Slave配置，适应不同DUT；</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设备具有链路通断指示灯、设备Master/Slave指示灯、DUT供电状态指示灯、设备供电指示灯；</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提供API，能够被上层软件调用，支持IOP测试；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IOP测试设备必须内置差分定向耦合器，能够将高斯干扰信号耦合到通信线路，用于TC8 V3.0中的IOP测试；</w:t>
      </w:r>
    </w:p>
    <w:p>
      <w:pPr>
        <w:spacing w:line="420" w:lineRule="exact"/>
        <w:ind w:firstLine="480" w:firstLineChars="200"/>
        <w:rPr>
          <w:rFonts w:ascii="Times New Roman" w:hAnsi="Times New Roman" w:eastAsia="宋体" w:cs="Times New Roman"/>
          <w:sz w:val="24"/>
          <w:szCs w:val="24"/>
        </w:rPr>
      </w:pPr>
      <w:r>
        <w:rPr>
          <w:rFonts w:hint="eastAsia" w:ascii="MS Gothic" w:hAnsi="MS Gothic" w:eastAsia="MS Gothic" w:cs="MS Gothic"/>
          <w:sz w:val="24"/>
          <w:szCs w:val="24"/>
        </w:rPr>
        <w:t>▶</w:t>
      </w:r>
      <w:r>
        <w:rPr>
          <w:rFonts w:hint="eastAsia" w:ascii="宋体" w:hAnsi="宋体" w:eastAsia="宋体" w:cs="MS Gothic"/>
          <w:sz w:val="24"/>
          <w:szCs w:val="24"/>
        </w:rPr>
        <w:t xml:space="preserve"> </w:t>
      </w:r>
      <w:r>
        <w:rPr>
          <w:rFonts w:hint="eastAsia" w:ascii="宋体" w:hAnsi="宋体" w:eastAsia="宋体" w:cs="Times New Roman"/>
          <w:sz w:val="24"/>
          <w:szCs w:val="24"/>
        </w:rPr>
        <w:t>支持CAN/CANFD/ETH/串口等多种通</w:t>
      </w:r>
      <w:r>
        <w:rPr>
          <w:rFonts w:hint="eastAsia" w:ascii="Times New Roman" w:hAnsi="Times New Roman" w:eastAsia="宋体" w:cs="Times New Roman"/>
          <w:sz w:val="24"/>
          <w:szCs w:val="24"/>
        </w:rPr>
        <w:t>讯方式，且能支持百兆和千兆以太网物理层测试。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.2.8</w:t>
      </w:r>
      <w:r>
        <w:rPr>
          <w:rFonts w:hint="eastAsia" w:ascii="宋体" w:hAnsi="宋体" w:eastAsia="宋体" w:cs="Times New Roman"/>
          <w:sz w:val="24"/>
          <w:szCs w:val="24"/>
        </w:rPr>
        <w:t>交换机功能、性能测试设备要求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选用国际知名品牌，如Spirent、X</w:t>
      </w:r>
      <w:r>
        <w:rPr>
          <w:rFonts w:ascii="宋体" w:hAnsi="宋体" w:eastAsia="宋体" w:cs="Times New Roman"/>
          <w:sz w:val="24"/>
          <w:szCs w:val="24"/>
        </w:rPr>
        <w:t>ENA</w:t>
      </w:r>
      <w:r>
        <w:rPr>
          <w:rFonts w:hint="eastAsia" w:ascii="宋体" w:hAnsi="宋体" w:eastAsia="宋体" w:cs="Times New Roman"/>
          <w:sz w:val="24"/>
          <w:szCs w:val="24"/>
        </w:rPr>
        <w:t>、</w:t>
      </w:r>
      <w:r>
        <w:rPr>
          <w:rFonts w:ascii="宋体" w:hAnsi="宋体" w:eastAsia="宋体" w:cs="Times New Roman"/>
          <w:sz w:val="24"/>
          <w:szCs w:val="24"/>
        </w:rPr>
        <w:t>IXIA</w:t>
      </w:r>
      <w:r>
        <w:rPr>
          <w:rFonts w:hint="eastAsia" w:ascii="宋体" w:hAnsi="宋体" w:eastAsia="宋体" w:cs="Times New Roman"/>
          <w:sz w:val="24"/>
          <w:szCs w:val="24"/>
        </w:rPr>
        <w:t>。满足</w:t>
      </w:r>
      <w:r>
        <w:rPr>
          <w:rFonts w:ascii="宋体" w:hAnsi="宋体" w:eastAsia="宋体" w:cs="Times New Roman"/>
          <w:sz w:val="24"/>
          <w:szCs w:val="24"/>
        </w:rPr>
        <w:t>TC8 V3.0</w:t>
      </w:r>
      <w:r>
        <w:rPr>
          <w:rFonts w:hint="eastAsia" w:ascii="宋体" w:hAnsi="宋体" w:eastAsia="宋体" w:cs="Times New Roman"/>
          <w:sz w:val="24"/>
          <w:szCs w:val="24"/>
        </w:rPr>
        <w:t>中对L</w:t>
      </w:r>
      <w:r>
        <w:rPr>
          <w:rFonts w:ascii="宋体" w:hAnsi="宋体" w:eastAsia="宋体" w:cs="Times New Roman"/>
          <w:sz w:val="24"/>
          <w:szCs w:val="24"/>
        </w:rPr>
        <w:t>2</w:t>
      </w:r>
      <w:r>
        <w:rPr>
          <w:rFonts w:hint="eastAsia" w:ascii="宋体" w:hAnsi="宋体" w:eastAsia="宋体" w:cs="Times New Roman"/>
          <w:sz w:val="24"/>
          <w:szCs w:val="24"/>
        </w:rPr>
        <w:t>层交换机功能、性能测试要求。硬件参数满足如下：</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支持至少12个100/1000BASE-T1车载以太网接口；</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端口支持速率：1Gbps和100Mbps；</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基于硬件的时戳测量，测试精度至少达到10ns；</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支持2层（I</w:t>
      </w:r>
      <w:r>
        <w:rPr>
          <w:rFonts w:ascii="宋体" w:hAnsi="宋体" w:eastAsia="宋体" w:cs="Times New Roman"/>
          <w:sz w:val="24"/>
          <w:szCs w:val="24"/>
        </w:rPr>
        <w:t xml:space="preserve">EEE </w:t>
      </w:r>
      <w:r>
        <w:rPr>
          <w:rFonts w:hint="eastAsia" w:ascii="宋体" w:hAnsi="宋体" w:eastAsia="宋体" w:cs="Times New Roman"/>
          <w:sz w:val="24"/>
          <w:szCs w:val="24"/>
        </w:rPr>
        <w:t>802.3、Ethernet II、I</w:t>
      </w:r>
      <w:r>
        <w:rPr>
          <w:rFonts w:ascii="宋体" w:hAnsi="宋体" w:eastAsia="宋体" w:cs="Times New Roman"/>
          <w:sz w:val="24"/>
          <w:szCs w:val="24"/>
        </w:rPr>
        <w:t xml:space="preserve">EEE </w:t>
      </w:r>
      <w:r>
        <w:rPr>
          <w:rFonts w:hint="eastAsia" w:ascii="宋体" w:hAnsi="宋体" w:eastAsia="宋体" w:cs="Times New Roman"/>
          <w:sz w:val="24"/>
          <w:szCs w:val="24"/>
        </w:rPr>
        <w:t>802.1Q、I</w:t>
      </w:r>
      <w:r>
        <w:rPr>
          <w:rFonts w:ascii="宋体" w:hAnsi="宋体" w:eastAsia="宋体" w:cs="Times New Roman"/>
          <w:sz w:val="24"/>
          <w:szCs w:val="24"/>
        </w:rPr>
        <w:t xml:space="preserve">EEE </w:t>
      </w:r>
      <w:r>
        <w:rPr>
          <w:rFonts w:hint="eastAsia" w:ascii="宋体" w:hAnsi="宋体" w:eastAsia="宋体" w:cs="Times New Roman"/>
          <w:sz w:val="24"/>
          <w:szCs w:val="24"/>
        </w:rPr>
        <w:t>802.1ad、I</w:t>
      </w:r>
      <w:r>
        <w:rPr>
          <w:rFonts w:ascii="宋体" w:hAnsi="宋体" w:eastAsia="宋体" w:cs="Times New Roman"/>
          <w:sz w:val="24"/>
          <w:szCs w:val="24"/>
        </w:rPr>
        <w:t xml:space="preserve">EEE </w:t>
      </w:r>
      <w:r>
        <w:rPr>
          <w:rFonts w:hint="eastAsia" w:ascii="宋体" w:hAnsi="宋体" w:eastAsia="宋体" w:cs="Times New Roman"/>
          <w:sz w:val="24"/>
          <w:szCs w:val="24"/>
        </w:rPr>
        <w:t>802.1ah、I</w:t>
      </w:r>
      <w:r>
        <w:rPr>
          <w:rFonts w:ascii="宋体" w:hAnsi="宋体" w:eastAsia="宋体" w:cs="Times New Roman"/>
          <w:sz w:val="24"/>
          <w:szCs w:val="24"/>
        </w:rPr>
        <w:t xml:space="preserve">EEE </w:t>
      </w:r>
      <w:r>
        <w:rPr>
          <w:rFonts w:hint="eastAsia" w:ascii="宋体" w:hAnsi="宋体" w:eastAsia="宋体" w:cs="Times New Roman"/>
          <w:sz w:val="24"/>
          <w:szCs w:val="24"/>
        </w:rPr>
        <w:t>1722），3～4层（IPv4、IPv6、UDP、TCP）流量封装，以及自定义的PDU封装；</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支持基于端口，基于每条流，或基于流的优先级和用户自定义调度发送流量，可以在同一端口同时发送恒定流量及突发流量；可以为不同测试流设定优先级，高优先级的流量保证其按设定值恒定发送；</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支持最高101%线速率发送；</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支持发送60-10240字节（含CRC）的以太网帧；</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满足switch功能和性能测试需求：RFC</w:t>
      </w:r>
      <w:r>
        <w:rPr>
          <w:rFonts w:ascii="宋体" w:hAnsi="宋体" w:eastAsia="宋体" w:cs="Times New Roman"/>
          <w:sz w:val="24"/>
          <w:szCs w:val="24"/>
        </w:rPr>
        <w:t xml:space="preserve"> </w:t>
      </w:r>
      <w:r>
        <w:rPr>
          <w:rFonts w:hint="eastAsia" w:ascii="宋体" w:hAnsi="宋体" w:eastAsia="宋体" w:cs="Times New Roman"/>
          <w:sz w:val="24"/>
          <w:szCs w:val="24"/>
        </w:rPr>
        <w:t>2544、RFC</w:t>
      </w:r>
      <w:r>
        <w:rPr>
          <w:rFonts w:ascii="宋体" w:hAnsi="宋体" w:eastAsia="宋体" w:cs="Times New Roman"/>
          <w:sz w:val="24"/>
          <w:szCs w:val="24"/>
        </w:rPr>
        <w:t xml:space="preserve"> </w:t>
      </w:r>
      <w:r>
        <w:rPr>
          <w:rFonts w:hint="eastAsia" w:ascii="宋体" w:hAnsi="宋体" w:eastAsia="宋体" w:cs="Times New Roman"/>
          <w:sz w:val="24"/>
          <w:szCs w:val="24"/>
        </w:rPr>
        <w:t>2889及TC8 V3.0要求的</w:t>
      </w:r>
      <w:r>
        <w:rPr>
          <w:rFonts w:ascii="宋体" w:hAnsi="宋体" w:eastAsia="宋体" w:cs="Times New Roman"/>
          <w:sz w:val="24"/>
          <w:szCs w:val="24"/>
        </w:rPr>
        <w:t>L2</w:t>
      </w:r>
      <w:r>
        <w:rPr>
          <w:rFonts w:hint="eastAsia" w:ascii="宋体" w:hAnsi="宋体" w:eastAsia="宋体" w:cs="Times New Roman"/>
          <w:sz w:val="24"/>
          <w:szCs w:val="24"/>
        </w:rPr>
        <w:t>层测试；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支持对每个接收到的流进行测量及统计，包括时延（平均、最小、最大和短期平均值）、数据完整性（IP校验和、TCP/UDP校验和、帧CRC、嵌入式CRC和PRBS位错误）等；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支持AVB/TSN测试需求。</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.2.9</w:t>
      </w:r>
      <w:r>
        <w:rPr>
          <w:rFonts w:hint="eastAsia" w:ascii="宋体" w:hAnsi="宋体" w:eastAsia="宋体" w:cs="Times New Roman"/>
          <w:sz w:val="24"/>
          <w:szCs w:val="24"/>
        </w:rPr>
        <w:t>以太网接口及镜像设备</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Times New Roman" w:hAnsi="Times New Roman" w:eastAsia="宋体" w:cs="Times New Roman"/>
          <w:sz w:val="24"/>
          <w:szCs w:val="24"/>
        </w:rPr>
        <w:t>能够实现被测对象与电脑间的通讯连接，能够实现系统测试中镜像报文捕获，满足汽车以太网</w:t>
      </w:r>
      <w:r>
        <w:rPr>
          <w:rFonts w:hint="eastAsia" w:ascii="宋体" w:hAnsi="宋体" w:eastAsia="宋体" w:cs="Times New Roman"/>
          <w:sz w:val="24"/>
          <w:szCs w:val="24"/>
        </w:rPr>
        <w:t>基础通信测试、应用层协议测试、DoIP测试、刷写测试、UDS测试、UDPNM测试、网关路由测试、系统测试等测试要求。</w:t>
      </w:r>
      <w:r>
        <w:rPr>
          <w:rFonts w:hint="eastAsia" w:ascii="Times New Roman" w:hAnsi="Times New Roman" w:eastAsia="宋体" w:cs="Times New Roman"/>
          <w:sz w:val="24"/>
          <w:szCs w:val="24"/>
        </w:rPr>
        <w:t>以太网接口及镜像设备硬件参数满足如下：</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至少具备</w:t>
      </w:r>
      <w:r>
        <w:rPr>
          <w:rFonts w:ascii="宋体" w:hAnsi="宋体" w:eastAsia="宋体" w:cs="Times New Roman"/>
          <w:sz w:val="24"/>
          <w:szCs w:val="24"/>
        </w:rPr>
        <w:t>12</w:t>
      </w:r>
      <w:r>
        <w:rPr>
          <w:rFonts w:hint="eastAsia" w:ascii="宋体" w:hAnsi="宋体" w:eastAsia="宋体" w:cs="Times New Roman"/>
          <w:sz w:val="24"/>
          <w:szCs w:val="24"/>
        </w:rPr>
        <w:t>个100/1000BASE-T1通道</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ascii="宋体" w:hAnsi="宋体" w:eastAsia="宋体" w:cs="Times New Roman"/>
          <w:sz w:val="24"/>
          <w:szCs w:val="24"/>
        </w:rPr>
        <w:t>2</w:t>
      </w:r>
      <w:r>
        <w:rPr>
          <w:rFonts w:hint="eastAsia" w:ascii="宋体" w:hAnsi="宋体" w:eastAsia="宋体" w:cs="Times New Roman"/>
          <w:sz w:val="24"/>
          <w:szCs w:val="24"/>
        </w:rPr>
        <w:t>个100</w:t>
      </w:r>
      <w:r>
        <w:rPr>
          <w:rFonts w:ascii="宋体" w:hAnsi="宋体" w:eastAsia="宋体" w:cs="Times New Roman"/>
          <w:sz w:val="24"/>
          <w:szCs w:val="24"/>
        </w:rPr>
        <w:t>/1000</w:t>
      </w:r>
      <w:r>
        <w:rPr>
          <w:rFonts w:hint="eastAsia" w:ascii="宋体" w:hAnsi="宋体" w:eastAsia="宋体" w:cs="Times New Roman"/>
          <w:sz w:val="24"/>
          <w:szCs w:val="24"/>
        </w:rPr>
        <w:t>BASE-TX通道；</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至少具备</w:t>
      </w:r>
      <w:r>
        <w:rPr>
          <w:rFonts w:ascii="宋体" w:hAnsi="宋体" w:eastAsia="宋体" w:cs="Times New Roman"/>
          <w:sz w:val="24"/>
          <w:szCs w:val="24"/>
        </w:rPr>
        <w:t>2</w:t>
      </w:r>
      <w:r>
        <w:rPr>
          <w:rFonts w:hint="eastAsia" w:ascii="宋体" w:hAnsi="宋体" w:eastAsia="宋体" w:cs="Times New Roman"/>
          <w:sz w:val="24"/>
          <w:szCs w:val="24"/>
        </w:rPr>
        <w:t>路CAN</w:t>
      </w:r>
      <w:r>
        <w:rPr>
          <w:rFonts w:ascii="宋体" w:hAnsi="宋体" w:eastAsia="宋体" w:cs="Times New Roman"/>
          <w:sz w:val="24"/>
          <w:szCs w:val="24"/>
        </w:rPr>
        <w:t>/</w:t>
      </w:r>
      <w:r>
        <w:rPr>
          <w:rFonts w:hint="eastAsia" w:ascii="宋体" w:hAnsi="宋体" w:eastAsia="宋体" w:cs="Times New Roman"/>
          <w:sz w:val="24"/>
          <w:szCs w:val="24"/>
        </w:rPr>
        <w:t>FD通道；</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至少</w:t>
      </w:r>
      <w:r>
        <w:rPr>
          <w:rFonts w:ascii="宋体" w:hAnsi="宋体" w:eastAsia="宋体" w:cs="Times New Roman"/>
          <w:sz w:val="24"/>
          <w:szCs w:val="24"/>
        </w:rPr>
        <w:t>1</w:t>
      </w:r>
      <w:r>
        <w:rPr>
          <w:rFonts w:hint="eastAsia" w:ascii="宋体" w:hAnsi="宋体" w:eastAsia="宋体" w:cs="Times New Roman"/>
          <w:sz w:val="24"/>
          <w:szCs w:val="24"/>
        </w:rPr>
        <w:t>个</w:t>
      </w:r>
      <w:r>
        <w:rPr>
          <w:rFonts w:ascii="宋体" w:hAnsi="宋体" w:eastAsia="宋体" w:cs="Times New Roman"/>
          <w:sz w:val="24"/>
          <w:szCs w:val="24"/>
        </w:rPr>
        <w:t>10GBASE-T</w:t>
      </w:r>
      <w:r>
        <w:rPr>
          <w:rFonts w:hint="eastAsia" w:ascii="宋体" w:hAnsi="宋体" w:eastAsia="宋体" w:cs="Times New Roman"/>
          <w:sz w:val="24"/>
          <w:szCs w:val="24"/>
        </w:rPr>
        <w:t>通道；</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支持数据直接在接口卡设备中被转发（可以通过上位机软件进行监测，但不能改变数据包的内容）；</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支持数据由上位机软件进行转发（可以改变数据包的内容）；</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支持离线数据记录，并能将数据存储在可移动介质中；</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支持CAN-Ethernet网关路由测试，所有通道数据同步精度优于1us；</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支持作为中央网关，通过上位机编程实现CAN/CANFD转Ethernet、Ethernet转CAN/CANFD的网关路由功能。</w:t>
      </w:r>
    </w:p>
    <w:p>
      <w:pPr>
        <w:keepNext/>
        <w:keepLines/>
        <w:pageBreakBefore w:val="0"/>
        <w:widowControl w:val="0"/>
        <w:kinsoku/>
        <w:wordWrap/>
        <w:overflowPunct/>
        <w:topLinePunct w:val="0"/>
        <w:autoSpaceDE/>
        <w:autoSpaceDN/>
        <w:bidi w:val="0"/>
        <w:adjustRightInd/>
        <w:snapToGrid/>
        <w:spacing w:line="420" w:lineRule="exact"/>
        <w:textAlignment w:val="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.2.10</w:t>
      </w:r>
      <w:r>
        <w:rPr>
          <w:rFonts w:hint="eastAsia" w:ascii="宋体" w:hAnsi="宋体" w:eastAsia="宋体" w:cs="Times New Roman"/>
          <w:sz w:val="24"/>
          <w:szCs w:val="24"/>
        </w:rPr>
        <w:t>屏蔽箱要求</w:t>
      </w:r>
    </w:p>
    <w:p>
      <w:pPr>
        <w:pageBreakBefore w:val="0"/>
        <w:widowControl w:val="0"/>
        <w:kinsoku/>
        <w:wordWrap/>
        <w:overflowPunct/>
        <w:topLinePunct w:val="0"/>
        <w:autoSpaceDE/>
        <w:autoSpaceDN/>
        <w:bidi w:val="0"/>
        <w:adjustRightInd/>
        <w:snapToGrid/>
        <w:spacing w:line="420" w:lineRule="exact"/>
        <w:ind w:firstLine="420"/>
        <w:textAlignment w:val="auto"/>
        <w:rPr>
          <w:rFonts w:ascii="Times New Roman" w:hAnsi="Times New Roman" w:eastAsia="宋体" w:cs="Times New Roman"/>
          <w:sz w:val="24"/>
          <w:szCs w:val="24"/>
        </w:rPr>
      </w:pPr>
      <w:r>
        <w:rPr>
          <w:rFonts w:hint="eastAsia" w:ascii="Times New Roman" w:hAnsi="Times New Roman" w:eastAsia="宋体" w:cs="Times New Roman"/>
          <w:sz w:val="24"/>
          <w:szCs w:val="24"/>
        </w:rPr>
        <w:t>屏蔽箱满足共模发</w:t>
      </w:r>
      <w:r>
        <w:rPr>
          <w:rFonts w:hint="eastAsia" w:ascii="宋体" w:hAnsi="宋体" w:eastAsia="宋体" w:cs="Times New Roman"/>
          <w:sz w:val="24"/>
          <w:szCs w:val="24"/>
        </w:rPr>
        <w:t>射测量时对外部干扰的屏蔽要求。箱体屏蔽效能（dB）符合GB/T</w:t>
      </w:r>
      <w:r>
        <w:rPr>
          <w:rFonts w:ascii="宋体" w:hAnsi="宋体" w:eastAsia="宋体" w:cs="Times New Roman"/>
          <w:sz w:val="24"/>
          <w:szCs w:val="24"/>
        </w:rPr>
        <w:t xml:space="preserve"> </w:t>
      </w:r>
      <w:r>
        <w:rPr>
          <w:rFonts w:hint="eastAsia" w:ascii="宋体" w:hAnsi="宋体" w:eastAsia="宋体" w:cs="Times New Roman"/>
          <w:sz w:val="24"/>
          <w:szCs w:val="24"/>
        </w:rPr>
        <w:t>12190标准</w:t>
      </w:r>
      <w:r>
        <w:rPr>
          <w:rFonts w:hint="eastAsia" w:ascii="Times New Roman" w:hAnsi="Times New Roman" w:eastAsia="宋体" w:cs="Times New Roman"/>
          <w:sz w:val="24"/>
          <w:szCs w:val="24"/>
        </w:rPr>
        <w:t>。</w:t>
      </w:r>
    </w:p>
    <w:p>
      <w:pPr>
        <w:keepNext/>
        <w:keepLines/>
        <w:pageBreakBefore w:val="0"/>
        <w:widowControl w:val="0"/>
        <w:kinsoku/>
        <w:wordWrap/>
        <w:overflowPunct/>
        <w:topLinePunct w:val="0"/>
        <w:autoSpaceDE/>
        <w:autoSpaceDN/>
        <w:bidi w:val="0"/>
        <w:adjustRightInd/>
        <w:snapToGrid/>
        <w:spacing w:line="420" w:lineRule="exact"/>
        <w:textAlignment w:val="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.2.11</w:t>
      </w:r>
      <w:r>
        <w:rPr>
          <w:rFonts w:hint="eastAsia" w:ascii="宋体" w:hAnsi="宋体" w:eastAsia="宋体" w:cs="Times New Roman"/>
          <w:sz w:val="24"/>
          <w:szCs w:val="24"/>
        </w:rPr>
        <w:t>工控机及显示系统要求</w:t>
      </w:r>
    </w:p>
    <w:p>
      <w:pPr>
        <w:pageBreakBefore w:val="0"/>
        <w:widowControl w:val="0"/>
        <w:kinsoku/>
        <w:wordWrap/>
        <w:overflowPunct/>
        <w:topLinePunct w:val="0"/>
        <w:autoSpaceDE/>
        <w:autoSpaceDN/>
        <w:bidi w:val="0"/>
        <w:adjustRightInd/>
        <w:snapToGrid/>
        <w:spacing w:line="420" w:lineRule="exact"/>
        <w:textAlignment w:val="auto"/>
        <w:rPr>
          <w:rFonts w:ascii="宋体" w:hAnsi="宋体" w:eastAsia="宋体" w:cs="Times New Roman"/>
          <w:sz w:val="24"/>
          <w:szCs w:val="24"/>
        </w:rPr>
      </w:pPr>
      <w:r>
        <w:rPr>
          <w:rFonts w:ascii="Times New Roman" w:hAnsi="Times New Roman" w:eastAsia="宋体" w:cs="Times New Roman"/>
          <w:sz w:val="24"/>
          <w:szCs w:val="24"/>
        </w:rPr>
        <w:tab/>
      </w:r>
      <w:r>
        <w:rPr>
          <w:rFonts w:hint="eastAsia" w:ascii="MS Gothic" w:hAnsi="MS Gothic" w:eastAsia="MS Gothic" w:cs="MS Gothic"/>
          <w:sz w:val="24"/>
          <w:szCs w:val="24"/>
        </w:rPr>
        <w:t>▶</w:t>
      </w:r>
      <w:r>
        <w:rPr>
          <w:rFonts w:ascii="Times New Roman" w:hAnsi="Times New Roman" w:eastAsia="宋体" w:cs="Times New Roman"/>
          <w:sz w:val="24"/>
          <w:szCs w:val="24"/>
        </w:rPr>
        <w:t xml:space="preserve"> </w:t>
      </w:r>
      <w:r>
        <w:rPr>
          <w:rFonts w:ascii="宋体" w:hAnsi="宋体" w:eastAsia="宋体" w:cs="Times New Roman"/>
          <w:sz w:val="24"/>
          <w:szCs w:val="24"/>
        </w:rPr>
        <w:t>CPU</w:t>
      </w:r>
      <w:r>
        <w:rPr>
          <w:rFonts w:hint="eastAsia" w:ascii="宋体" w:hAnsi="宋体" w:eastAsia="宋体" w:cs="Times New Roman"/>
          <w:sz w:val="24"/>
          <w:szCs w:val="24"/>
        </w:rPr>
        <w:t>：</w:t>
      </w:r>
      <w:r>
        <w:rPr>
          <w:rFonts w:ascii="宋体" w:hAnsi="宋体" w:eastAsia="宋体" w:cs="Times New Roman"/>
          <w:sz w:val="24"/>
          <w:szCs w:val="24"/>
        </w:rPr>
        <w:t>i7</w:t>
      </w:r>
      <w:r>
        <w:rPr>
          <w:rFonts w:hint="eastAsia" w:ascii="宋体" w:hAnsi="宋体" w:eastAsia="宋体" w:cs="Times New Roman"/>
          <w:sz w:val="24"/>
          <w:szCs w:val="24"/>
        </w:rPr>
        <w:t>处理器或以上；</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内存：≥</w:t>
      </w:r>
      <w:r>
        <w:rPr>
          <w:rFonts w:ascii="宋体" w:hAnsi="宋体" w:eastAsia="宋体" w:cs="Times New Roman"/>
          <w:sz w:val="24"/>
          <w:szCs w:val="24"/>
        </w:rPr>
        <w:t>32G</w:t>
      </w:r>
      <w:r>
        <w:rPr>
          <w:rFonts w:hint="eastAsia" w:ascii="宋体" w:hAnsi="宋体" w:eastAsia="宋体" w:cs="Times New Roman"/>
          <w:sz w:val="24"/>
          <w:szCs w:val="24"/>
        </w:rPr>
        <w:t>；</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固态硬盘：≥</w:t>
      </w:r>
      <w:r>
        <w:rPr>
          <w:rFonts w:ascii="宋体" w:hAnsi="宋体" w:eastAsia="宋体" w:cs="Times New Roman"/>
          <w:sz w:val="24"/>
          <w:szCs w:val="24"/>
        </w:rPr>
        <w:t>1TB</w:t>
      </w:r>
      <w:r>
        <w:rPr>
          <w:rFonts w:hint="eastAsia" w:ascii="宋体" w:hAnsi="宋体" w:eastAsia="宋体" w:cs="Times New Roman"/>
          <w:sz w:val="24"/>
          <w:szCs w:val="24"/>
        </w:rPr>
        <w:t>；</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USB3.0</w:t>
      </w:r>
      <w:r>
        <w:rPr>
          <w:rFonts w:hint="eastAsia" w:ascii="宋体" w:hAnsi="宋体" w:eastAsia="宋体" w:cs="Times New Roman"/>
          <w:sz w:val="24"/>
          <w:szCs w:val="24"/>
        </w:rPr>
        <w:t>以上接口：≥</w:t>
      </w:r>
      <w:r>
        <w:rPr>
          <w:rFonts w:ascii="宋体" w:hAnsi="宋体" w:eastAsia="宋体" w:cs="Times New Roman"/>
          <w:sz w:val="24"/>
          <w:szCs w:val="24"/>
        </w:rPr>
        <w:t>4</w:t>
      </w:r>
      <w:r>
        <w:rPr>
          <w:rFonts w:hint="eastAsia" w:ascii="宋体" w:hAnsi="宋体" w:eastAsia="宋体" w:cs="Times New Roman"/>
          <w:sz w:val="24"/>
          <w:szCs w:val="24"/>
        </w:rPr>
        <w:t>个；</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以太网口：≥</w:t>
      </w:r>
      <w:r>
        <w:rPr>
          <w:rFonts w:ascii="宋体" w:hAnsi="宋体" w:eastAsia="宋体" w:cs="Times New Roman"/>
          <w:sz w:val="24"/>
          <w:szCs w:val="24"/>
        </w:rPr>
        <w:t>2</w:t>
      </w:r>
      <w:r>
        <w:rPr>
          <w:rFonts w:hint="eastAsia" w:ascii="宋体" w:hAnsi="宋体" w:eastAsia="宋体" w:cs="Times New Roman"/>
          <w:sz w:val="24"/>
          <w:szCs w:val="24"/>
        </w:rPr>
        <w:t>（</w:t>
      </w:r>
      <w:r>
        <w:rPr>
          <w:rFonts w:ascii="宋体" w:hAnsi="宋体" w:eastAsia="宋体" w:cs="Times New Roman"/>
          <w:sz w:val="24"/>
          <w:szCs w:val="24"/>
        </w:rPr>
        <w:t>10G</w:t>
      </w:r>
      <w:r>
        <w:rPr>
          <w:rFonts w:hint="eastAsia" w:ascii="宋体" w:hAnsi="宋体" w:eastAsia="宋体" w:cs="Times New Roman"/>
          <w:sz w:val="24"/>
          <w:szCs w:val="24"/>
        </w:rPr>
        <w:t>）；</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COM</w:t>
      </w:r>
      <w:r>
        <w:rPr>
          <w:rFonts w:hint="eastAsia" w:ascii="宋体" w:hAnsi="宋体" w:eastAsia="宋体" w:cs="Times New Roman"/>
          <w:sz w:val="24"/>
          <w:szCs w:val="24"/>
        </w:rPr>
        <w:t>口：≥</w:t>
      </w:r>
      <w:r>
        <w:rPr>
          <w:rFonts w:ascii="宋体" w:hAnsi="宋体" w:eastAsia="宋体" w:cs="Times New Roman"/>
          <w:sz w:val="24"/>
          <w:szCs w:val="24"/>
        </w:rPr>
        <w:t>1</w:t>
      </w:r>
      <w:r>
        <w:rPr>
          <w:rFonts w:hint="eastAsia" w:ascii="宋体" w:hAnsi="宋体" w:eastAsia="宋体" w:cs="Times New Roman"/>
          <w:sz w:val="24"/>
          <w:szCs w:val="24"/>
        </w:rPr>
        <w:t>；</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预安装正版</w:t>
      </w:r>
      <w:r>
        <w:rPr>
          <w:rFonts w:ascii="宋体" w:hAnsi="宋体" w:eastAsia="宋体" w:cs="Times New Roman"/>
          <w:sz w:val="24"/>
          <w:szCs w:val="24"/>
        </w:rPr>
        <w:t>Windows</w:t>
      </w:r>
      <w:r>
        <w:rPr>
          <w:rFonts w:hint="eastAsia" w:ascii="宋体" w:hAnsi="宋体" w:eastAsia="宋体" w:cs="Times New Roman"/>
          <w:sz w:val="24"/>
          <w:szCs w:val="24"/>
        </w:rPr>
        <w:t>操作系统以及正版</w:t>
      </w:r>
      <w:r>
        <w:rPr>
          <w:rFonts w:ascii="宋体" w:hAnsi="宋体" w:eastAsia="宋体" w:cs="Times New Roman"/>
          <w:sz w:val="24"/>
          <w:szCs w:val="24"/>
        </w:rPr>
        <w:t>Office</w:t>
      </w:r>
      <w:r>
        <w:rPr>
          <w:rFonts w:hint="eastAsia" w:ascii="宋体" w:hAnsi="宋体" w:eastAsia="宋体" w:cs="Times New Roman"/>
          <w:sz w:val="24"/>
          <w:szCs w:val="24"/>
        </w:rPr>
        <w:t>办公软件；</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桌面式显示器（≥</w:t>
      </w:r>
      <w:r>
        <w:rPr>
          <w:rFonts w:ascii="宋体" w:hAnsi="宋体" w:eastAsia="宋体" w:cs="Times New Roman"/>
          <w:sz w:val="24"/>
          <w:szCs w:val="24"/>
        </w:rPr>
        <w:t>24</w:t>
      </w:r>
      <w:r>
        <w:rPr>
          <w:rFonts w:hint="eastAsia" w:ascii="宋体" w:hAnsi="宋体" w:eastAsia="宋体" w:cs="Times New Roman"/>
          <w:sz w:val="24"/>
          <w:szCs w:val="24"/>
        </w:rPr>
        <w:t>英寸）；</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独立的鼠标键盘（无线）；</w:t>
      </w:r>
    </w:p>
    <w:p>
      <w:pPr>
        <w:pageBreakBefore w:val="0"/>
        <w:widowControl w:val="0"/>
        <w:kinsoku/>
        <w:wordWrap/>
        <w:overflowPunct/>
        <w:topLinePunct w:val="0"/>
        <w:autoSpaceDE/>
        <w:autoSpaceDN/>
        <w:bidi w:val="0"/>
        <w:adjustRightInd/>
        <w:snapToGrid/>
        <w:spacing w:line="420" w:lineRule="exact"/>
        <w:ind w:firstLine="420"/>
        <w:textAlignment w:val="auto"/>
        <w:rPr>
          <w:rFonts w:ascii="宋体" w:hAnsi="宋体" w:eastAsia="宋体" w:cs="Times New Roman"/>
          <w:sz w:val="24"/>
          <w:szCs w:val="24"/>
        </w:rPr>
      </w:pPr>
      <w:r>
        <w:rPr>
          <w:rFonts w:hint="eastAsia" w:ascii="MS Gothic" w:hAnsi="MS Gothic" w:eastAsia="MS Gothic" w:cs="MS Gothic"/>
          <w:sz w:val="24"/>
          <w:szCs w:val="24"/>
        </w:rPr>
        <w:t>▶</w:t>
      </w:r>
      <w:r>
        <w:rPr>
          <w:rFonts w:ascii="宋体" w:hAnsi="宋体" w:eastAsia="宋体" w:cs="Times New Roman"/>
          <w:sz w:val="24"/>
          <w:szCs w:val="24"/>
        </w:rPr>
        <w:t xml:space="preserve"> USB3.0</w:t>
      </w:r>
      <w:r>
        <w:rPr>
          <w:rFonts w:hint="eastAsia" w:ascii="宋体" w:hAnsi="宋体" w:eastAsia="宋体" w:cs="Times New Roman"/>
          <w:sz w:val="24"/>
          <w:szCs w:val="24"/>
        </w:rPr>
        <w:t>以上拓展线一个。</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.2.12</w:t>
      </w:r>
      <w:r>
        <w:rPr>
          <w:rFonts w:hint="eastAsia" w:ascii="宋体" w:hAnsi="宋体" w:eastAsia="宋体" w:cs="Times New Roman"/>
          <w:sz w:val="24"/>
          <w:szCs w:val="24"/>
        </w:rPr>
        <w:t>程控B</w:t>
      </w:r>
      <w:r>
        <w:rPr>
          <w:rFonts w:ascii="宋体" w:hAnsi="宋体" w:eastAsia="宋体" w:cs="Times New Roman"/>
          <w:sz w:val="24"/>
          <w:szCs w:val="24"/>
        </w:rPr>
        <w:t>OB</w:t>
      </w:r>
      <w:r>
        <w:rPr>
          <w:rFonts w:hint="eastAsia" w:ascii="宋体" w:hAnsi="宋体" w:eastAsia="宋体" w:cs="Times New Roman"/>
          <w:sz w:val="24"/>
          <w:szCs w:val="24"/>
        </w:rPr>
        <w:t>要求</w:t>
      </w:r>
    </w:p>
    <w:p>
      <w:pPr>
        <w:ind w:firstLine="420"/>
        <w:rPr>
          <w:rFonts w:ascii="宋体" w:hAnsi="宋体" w:eastAsia="宋体" w:cs="Times New Roman"/>
          <w:sz w:val="24"/>
          <w:szCs w:val="24"/>
        </w:rPr>
      </w:pPr>
      <w:r>
        <w:rPr>
          <w:rFonts w:hint="eastAsia" w:ascii="宋体" w:hAnsi="宋体" w:eastAsia="宋体" w:cs="Times New Roman"/>
          <w:sz w:val="24"/>
          <w:szCs w:val="24"/>
        </w:rPr>
        <w:t>可与C</w:t>
      </w:r>
      <w:r>
        <w:rPr>
          <w:rFonts w:ascii="宋体" w:hAnsi="宋体" w:eastAsia="宋体" w:cs="Times New Roman"/>
          <w:sz w:val="24"/>
          <w:szCs w:val="24"/>
        </w:rPr>
        <w:t>AN/LIN/CANFD</w:t>
      </w:r>
      <w:r>
        <w:rPr>
          <w:rFonts w:hint="eastAsia" w:ascii="宋体" w:hAnsi="宋体" w:eastAsia="宋体" w:cs="Times New Roman"/>
          <w:sz w:val="24"/>
          <w:szCs w:val="24"/>
        </w:rPr>
        <w:t>网络测试系统共用，要求见“1.2.9程控BOB要求。</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.2.13</w:t>
      </w:r>
      <w:r>
        <w:rPr>
          <w:rFonts w:hint="eastAsia" w:ascii="宋体" w:hAnsi="宋体" w:eastAsia="宋体" w:cs="Times New Roman"/>
          <w:sz w:val="24"/>
          <w:szCs w:val="24"/>
        </w:rPr>
        <w:t>系统测试台架要求</w:t>
      </w:r>
    </w:p>
    <w:p>
      <w:pPr>
        <w:ind w:firstLine="420"/>
        <w:rPr>
          <w:rFonts w:ascii="宋体" w:hAnsi="宋体" w:eastAsia="宋体" w:cs="Times New Roman"/>
          <w:sz w:val="24"/>
          <w:szCs w:val="24"/>
        </w:rPr>
      </w:pPr>
      <w:r>
        <w:rPr>
          <w:rFonts w:hint="eastAsia" w:ascii="宋体" w:hAnsi="宋体" w:eastAsia="宋体" w:cs="Times New Roman"/>
          <w:sz w:val="24"/>
          <w:szCs w:val="24"/>
        </w:rPr>
        <w:t>与C</w:t>
      </w:r>
      <w:r>
        <w:rPr>
          <w:rFonts w:ascii="宋体" w:hAnsi="宋体" w:eastAsia="宋体" w:cs="Times New Roman"/>
          <w:sz w:val="24"/>
          <w:szCs w:val="24"/>
        </w:rPr>
        <w:t>AN/LIN/CANFD</w:t>
      </w:r>
      <w:r>
        <w:rPr>
          <w:rFonts w:hint="eastAsia" w:ascii="宋体" w:hAnsi="宋体" w:eastAsia="宋体" w:cs="Times New Roman"/>
          <w:sz w:val="24"/>
          <w:szCs w:val="24"/>
        </w:rPr>
        <w:t>网络测试系统共用，要求见“1</w:t>
      </w:r>
      <w:r>
        <w:rPr>
          <w:rFonts w:ascii="宋体" w:hAnsi="宋体" w:eastAsia="宋体" w:cs="Times New Roman"/>
          <w:sz w:val="24"/>
          <w:szCs w:val="24"/>
        </w:rPr>
        <w:t>.2.11</w:t>
      </w:r>
      <w:r>
        <w:rPr>
          <w:rFonts w:hint="eastAsia" w:ascii="宋体" w:hAnsi="宋体" w:eastAsia="宋体" w:cs="Times New Roman"/>
          <w:sz w:val="24"/>
          <w:szCs w:val="24"/>
        </w:rPr>
        <w:t>系统测试台架要求”。</w:t>
      </w:r>
    </w:p>
    <w:p>
      <w:pPr>
        <w:keepNext/>
        <w:keepLines/>
        <w:spacing w:line="376" w:lineRule="auto"/>
        <w:outlineLvl w:val="4"/>
        <w:rPr>
          <w:rFonts w:ascii="宋体" w:hAnsi="宋体" w:eastAsia="宋体" w:cs="Times New Roman"/>
          <w:sz w:val="24"/>
          <w:szCs w:val="24"/>
        </w:rPr>
      </w:pPr>
      <w:r>
        <w:rPr>
          <w:rFonts w:ascii="宋体" w:hAnsi="宋体" w:eastAsia="宋体" w:cs="Times New Roman"/>
          <w:sz w:val="24"/>
          <w:szCs w:val="24"/>
        </w:rPr>
        <w:t>2.3</w:t>
      </w:r>
      <w:r>
        <w:rPr>
          <w:rFonts w:hint="eastAsia" w:ascii="宋体" w:hAnsi="宋体" w:eastAsia="宋体" w:cs="Times New Roman"/>
          <w:sz w:val="24"/>
          <w:szCs w:val="24"/>
        </w:rPr>
        <w:t>测试系统软件要求</w:t>
      </w:r>
    </w:p>
    <w:p>
      <w:pPr>
        <w:keepNext/>
        <w:keepLines/>
        <w:spacing w:line="376" w:lineRule="auto"/>
        <w:outlineLvl w:val="5"/>
        <w:rPr>
          <w:rFonts w:ascii="宋体" w:hAnsi="宋体" w:eastAsia="宋体" w:cs="Times New Roman"/>
          <w:sz w:val="24"/>
          <w:szCs w:val="24"/>
        </w:rPr>
      </w:pPr>
      <w:r>
        <w:rPr>
          <w:rFonts w:ascii="宋体" w:hAnsi="宋体" w:eastAsia="宋体" w:cs="Times New Roman"/>
          <w:sz w:val="24"/>
          <w:szCs w:val="24"/>
        </w:rPr>
        <w:t>2.3.1</w:t>
      </w:r>
      <w:r>
        <w:rPr>
          <w:rFonts w:hint="eastAsia" w:ascii="宋体" w:hAnsi="宋体" w:eastAsia="宋体" w:cs="Times New Roman"/>
          <w:sz w:val="24"/>
          <w:szCs w:val="24"/>
        </w:rPr>
        <w:t>管理软件要求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1）人机操作界面简单友好，无需额外操作其他软件程序即可实现测试执行的操作。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2）通过树状结构组织测试用例，能够简洁有效调用各测试脚本。</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3）持车型的创建和编辑复制。</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4）具备测试用例管理功能，包含对测试用例的编辑、修改、删除、复制、导入、导出等功能。</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5）支持选定测试用例执行范围，可根据需要选择部分测试用例执行，测试中支持执行、暂停、继续执行、停止和退出的操作。</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6）支持测试报告的自动生成，测试报告的生成支持两种模式，模式一按招标方提供的报告模板自动生成相应概括性检测报告（报告模板由招标方提供）。模式二为覆盖详细测试内容的测试报告：报告为Excel</w:t>
      </w:r>
      <w:r>
        <w:rPr>
          <w:rFonts w:ascii="宋体" w:hAnsi="宋体" w:eastAsia="宋体" w:cs="Times New Roman"/>
          <w:sz w:val="24"/>
          <w:szCs w:val="24"/>
        </w:rPr>
        <w:t>/W</w:t>
      </w:r>
      <w:r>
        <w:rPr>
          <w:rFonts w:hint="eastAsia" w:ascii="宋体" w:hAnsi="宋体" w:eastAsia="宋体" w:cs="Times New Roman"/>
          <w:sz w:val="24"/>
          <w:szCs w:val="24"/>
        </w:rPr>
        <w:t>ord等可编辑的报告格式；测试报告应体现测试数据的关键时间戳或者截图，支持在目录页通过点击测试项目条目，跳转到相应的测试结果页；测试结果必须包含该测试条目的测试用例索引编号、测试标准、实际测试值、测试结果及判断原因，测试项目完整清晰准确。可以查看历史测试报告及详细测试数据。</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7）具备测试报告和数据管理功能，可保存存储全部测试数据到指定路径、数据库，并根据不同测试类型进行分类管理，数据命名具有可读性、可追溯性，用户能够对测试数据进行查看。</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测试报告内容需可靠完整，包含（但不限于）判断结果、判断依据、详细测试步骤及执行情况，可直接作为控制器车载网络协议一致性的评判依据，不需要再次进行手动更改；测试报告需体现被测对象信息（适配车型、型号、版本号）、测试时间、测试地点和测试人员等相关信息。</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9）在测试用例执行过程中可以实时显示测试进度、执行状态及测试结果，已执行/未执行用例数量，测试时间，测试正常/异常等。</w:t>
      </w:r>
    </w:p>
    <w:p>
      <w:pPr>
        <w:keepNext/>
        <w:keepLines/>
        <w:spacing w:line="376" w:lineRule="auto"/>
        <w:outlineLvl w:val="5"/>
        <w:rPr>
          <w:rFonts w:ascii="宋体" w:hAnsi="宋体" w:eastAsia="宋体" w:cs="Times New Roman"/>
          <w:sz w:val="24"/>
          <w:szCs w:val="24"/>
        </w:rPr>
      </w:pPr>
      <w:r>
        <w:rPr>
          <w:rFonts w:ascii="宋体" w:hAnsi="宋体" w:eastAsia="宋体" w:cs="Times New Roman"/>
          <w:sz w:val="24"/>
          <w:szCs w:val="24"/>
        </w:rPr>
        <w:t>2.3.2</w:t>
      </w:r>
      <w:r>
        <w:rPr>
          <w:rFonts w:hint="eastAsia" w:ascii="宋体" w:hAnsi="宋体" w:eastAsia="宋体" w:cs="Times New Roman"/>
          <w:sz w:val="24"/>
          <w:szCs w:val="24"/>
        </w:rPr>
        <w:t>系统软件执行要求</w:t>
      </w:r>
    </w:p>
    <w:p>
      <w:pPr>
        <w:keepNext/>
        <w:keepLines/>
        <w:spacing w:line="320" w:lineRule="auto"/>
        <w:outlineLvl w:val="6"/>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.3.2.1</w:t>
      </w:r>
      <w:r>
        <w:rPr>
          <w:rFonts w:hint="eastAsia" w:ascii="宋体" w:hAnsi="宋体" w:eastAsia="宋体" w:cs="Times New Roman"/>
          <w:sz w:val="24"/>
          <w:szCs w:val="24"/>
        </w:rPr>
        <w:t>一般要求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）测试软件可直观显示测试用例、执行状态、测试结果等。</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2）测试软件具备手动操作界面，可启动、暂停、停止测试进程。</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）软件模型及脚本中通用可配置参数以参数配置面板的形式提供配置界面；测试软件应与测试系统无缝匹配，包括测试执行、测试脚本开发、测试参数的更改配置、硬件的调用等。</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）测试用例开发须采用行业通用语言环境进行开发，且开发软件对测试脚本具备管理功能，支持从测试脚本中分离测试参数，测试脚本中具有明确的注释，易于脚本的解读查看和理解。</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）测试软件应具备读取及解析模块，支持</w:t>
      </w:r>
      <w:r>
        <w:rPr>
          <w:rFonts w:ascii="宋体" w:hAnsi="宋体" w:eastAsia="宋体" w:cs="Times New Roman"/>
          <w:sz w:val="24"/>
          <w:szCs w:val="24"/>
        </w:rPr>
        <w:t>Ethernet</w:t>
      </w:r>
      <w:r>
        <w:rPr>
          <w:rFonts w:hint="eastAsia" w:ascii="宋体" w:hAnsi="宋体" w:eastAsia="宋体" w:cs="Times New Roman"/>
          <w:sz w:val="24"/>
          <w:szCs w:val="24"/>
        </w:rPr>
        <w:t>网络数据库</w:t>
      </w:r>
      <w:r>
        <w:rPr>
          <w:rFonts w:ascii="宋体" w:hAnsi="宋体" w:eastAsia="宋体" w:cs="Times New Roman"/>
          <w:sz w:val="24"/>
          <w:szCs w:val="24"/>
        </w:rPr>
        <w:t>Arxml</w:t>
      </w:r>
      <w:r>
        <w:rPr>
          <w:rFonts w:hint="eastAsia" w:ascii="宋体" w:hAnsi="宋体" w:eastAsia="宋体" w:cs="Times New Roman"/>
          <w:sz w:val="24"/>
          <w:szCs w:val="24"/>
        </w:rPr>
        <w:t>文件的导入及解析。</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）支持</w:t>
      </w:r>
      <w:r>
        <w:rPr>
          <w:rFonts w:ascii="宋体" w:hAnsi="宋体" w:eastAsia="宋体" w:cs="Times New Roman"/>
          <w:sz w:val="24"/>
          <w:szCs w:val="24"/>
        </w:rPr>
        <w:t>HEX</w:t>
      </w:r>
      <w:r>
        <w:rPr>
          <w:rFonts w:hint="eastAsia" w:ascii="宋体" w:hAnsi="宋体" w:eastAsia="宋体" w:cs="Times New Roman"/>
          <w:sz w:val="24"/>
          <w:szCs w:val="24"/>
        </w:rPr>
        <w:t>、</w:t>
      </w:r>
      <w:r>
        <w:rPr>
          <w:rFonts w:ascii="宋体" w:hAnsi="宋体" w:eastAsia="宋体" w:cs="Times New Roman"/>
          <w:sz w:val="24"/>
          <w:szCs w:val="24"/>
        </w:rPr>
        <w:t>S19</w:t>
      </w:r>
      <w:r>
        <w:rPr>
          <w:rFonts w:hint="eastAsia" w:ascii="宋体" w:hAnsi="宋体" w:eastAsia="宋体" w:cs="Times New Roman"/>
          <w:sz w:val="24"/>
          <w:szCs w:val="24"/>
        </w:rPr>
        <w:t>、</w:t>
      </w:r>
      <w:r>
        <w:rPr>
          <w:rFonts w:ascii="宋体" w:hAnsi="宋体" w:eastAsia="宋体" w:cs="Times New Roman"/>
          <w:sz w:val="24"/>
          <w:szCs w:val="24"/>
        </w:rPr>
        <w:t>PCAP</w:t>
      </w:r>
      <w:r>
        <w:rPr>
          <w:rFonts w:hint="eastAsia" w:ascii="宋体" w:hAnsi="宋体" w:eastAsia="宋体" w:cs="Times New Roman"/>
          <w:sz w:val="24"/>
          <w:szCs w:val="24"/>
        </w:rPr>
        <w:t>等行业通用文件格式的解析；测试软件可仿真网络节点，并支持对信号的直接操作。</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）支持通用化的外部软件调用接口，如</w:t>
      </w:r>
      <w:r>
        <w:rPr>
          <w:rFonts w:ascii="宋体" w:hAnsi="宋体" w:eastAsia="宋体" w:cs="Times New Roman"/>
          <w:sz w:val="24"/>
          <w:szCs w:val="24"/>
        </w:rPr>
        <w:t>C</w:t>
      </w:r>
      <w:r>
        <w:rPr>
          <w:rFonts w:hint="eastAsia" w:ascii="宋体" w:hAnsi="宋体" w:eastAsia="宋体" w:cs="Times New Roman"/>
          <w:sz w:val="24"/>
          <w:szCs w:val="24"/>
        </w:rPr>
        <w:t>、</w:t>
      </w:r>
      <w:r>
        <w:rPr>
          <w:rFonts w:ascii="宋体" w:hAnsi="宋体" w:eastAsia="宋体" w:cs="Times New Roman"/>
          <w:sz w:val="24"/>
          <w:szCs w:val="24"/>
        </w:rPr>
        <w:t>C#</w:t>
      </w:r>
      <w:r>
        <w:rPr>
          <w:rFonts w:hint="eastAsia" w:ascii="宋体" w:hAnsi="宋体" w:eastAsia="宋体" w:cs="Times New Roman"/>
          <w:sz w:val="24"/>
          <w:szCs w:val="24"/>
        </w:rPr>
        <w:t>等</w:t>
      </w:r>
      <w:r>
        <w:rPr>
          <w:rFonts w:ascii="宋体" w:hAnsi="宋体" w:eastAsia="宋体" w:cs="Times New Roman"/>
          <w:sz w:val="24"/>
          <w:szCs w:val="24"/>
        </w:rPr>
        <w:t>API</w:t>
      </w:r>
      <w:r>
        <w:rPr>
          <w:rFonts w:hint="eastAsia" w:ascii="宋体" w:hAnsi="宋体" w:eastAsia="宋体" w:cs="Times New Roman"/>
          <w:sz w:val="24"/>
          <w:szCs w:val="24"/>
        </w:rPr>
        <w:t>或集成好的</w:t>
      </w:r>
      <w:r>
        <w:rPr>
          <w:rFonts w:ascii="宋体" w:hAnsi="宋体" w:eastAsia="宋体" w:cs="Times New Roman"/>
          <w:sz w:val="24"/>
          <w:szCs w:val="24"/>
        </w:rPr>
        <w:t>dll</w:t>
      </w:r>
      <w:r>
        <w:rPr>
          <w:rFonts w:hint="eastAsia" w:ascii="宋体" w:hAnsi="宋体" w:eastAsia="宋体" w:cs="Times New Roman"/>
          <w:sz w:val="24"/>
          <w:szCs w:val="24"/>
        </w:rPr>
        <w:t>文件（封装的库文件应提供开发源代码及函数说明文档），甲方的上层软件可以通过这些接口调用该测试模块，读取测试用例、执行状态、测试结果等内容。</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8</w:t>
      </w:r>
      <w:r>
        <w:rPr>
          <w:rFonts w:hint="eastAsia" w:ascii="宋体" w:hAnsi="宋体" w:eastAsia="宋体" w:cs="Times New Roman"/>
          <w:sz w:val="24"/>
          <w:szCs w:val="24"/>
        </w:rPr>
        <w:t>）能够调用外部设备接口，统一控制程控电源、通信线路、网络分析仪等硬件设备，用以模拟</w:t>
      </w:r>
      <w:r>
        <w:rPr>
          <w:rFonts w:ascii="宋体" w:hAnsi="宋体" w:eastAsia="宋体" w:cs="Times New Roman"/>
          <w:sz w:val="24"/>
          <w:szCs w:val="24"/>
        </w:rPr>
        <w:t>DUT</w:t>
      </w:r>
      <w:r>
        <w:rPr>
          <w:rFonts w:hint="eastAsia" w:ascii="宋体" w:hAnsi="宋体" w:eastAsia="宋体" w:cs="Times New Roman"/>
          <w:sz w:val="24"/>
          <w:szCs w:val="24"/>
        </w:rPr>
        <w:t>外部环境，实现测试功能。</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9</w:t>
      </w:r>
      <w:r>
        <w:rPr>
          <w:rFonts w:hint="eastAsia" w:ascii="宋体" w:hAnsi="宋体" w:eastAsia="宋体" w:cs="Times New Roman"/>
          <w:sz w:val="24"/>
          <w:szCs w:val="24"/>
        </w:rPr>
        <w:t>）测试软件框架必须易于使用，自定义函数需要有注释，易于编辑和维护。</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10</w:t>
      </w:r>
      <w:r>
        <w:rPr>
          <w:rFonts w:hint="eastAsia" w:ascii="宋体" w:hAnsi="宋体" w:eastAsia="宋体" w:cs="Times New Roman"/>
          <w:sz w:val="24"/>
          <w:szCs w:val="24"/>
        </w:rPr>
        <w:t>）测试脚本需要提供源代码，支持编辑和修改功能，保证能在多台PC运行。</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11</w:t>
      </w:r>
      <w:r>
        <w:rPr>
          <w:rFonts w:hint="eastAsia" w:ascii="宋体" w:hAnsi="宋体" w:eastAsia="宋体" w:cs="Times New Roman"/>
          <w:sz w:val="24"/>
          <w:szCs w:val="24"/>
        </w:rPr>
        <w:t>）测试相关参数与测试脚本分离，可单独进行配置。</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12</w:t>
      </w:r>
      <w:r>
        <w:rPr>
          <w:rFonts w:hint="eastAsia" w:ascii="宋体" w:hAnsi="宋体" w:eastAsia="宋体" w:cs="Times New Roman"/>
          <w:sz w:val="24"/>
          <w:szCs w:val="24"/>
        </w:rPr>
        <w:t>）测试用例开发软件应能够通过简单操作实现对测试逻辑的变更，不需要额外增加中间驱动或其它应用程序开发工作，便于后续平台的扩展及延伸，便于工程师的维护及二次开发。</w:t>
      </w:r>
    </w:p>
    <w:p>
      <w:pPr>
        <w:keepNext/>
        <w:keepLines/>
        <w:spacing w:line="320" w:lineRule="auto"/>
        <w:outlineLvl w:val="6"/>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.3.2.2</w:t>
      </w:r>
      <w:r>
        <w:rPr>
          <w:rFonts w:hint="eastAsia" w:ascii="宋体" w:hAnsi="宋体" w:eastAsia="宋体" w:cs="Times New Roman"/>
          <w:sz w:val="24"/>
          <w:szCs w:val="24"/>
        </w:rPr>
        <w:t>物理层测试要求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测试软件能够完成物理层波形质量、节点通信稳定性和可靠性自动化测试要求。满足O</w:t>
      </w:r>
      <w:r>
        <w:rPr>
          <w:rFonts w:ascii="宋体" w:hAnsi="宋体" w:eastAsia="宋体" w:cs="Times New Roman"/>
          <w:sz w:val="24"/>
          <w:szCs w:val="24"/>
        </w:rPr>
        <w:t xml:space="preserve">PEN </w:t>
      </w:r>
      <w:r>
        <w:rPr>
          <w:rFonts w:hint="eastAsia" w:ascii="宋体" w:hAnsi="宋体" w:eastAsia="宋体" w:cs="Times New Roman"/>
          <w:sz w:val="24"/>
          <w:szCs w:val="24"/>
        </w:rPr>
        <w:t>TC8 V3.0标准及T</w:t>
      </w:r>
      <w:r>
        <w:rPr>
          <w:rFonts w:ascii="宋体" w:hAnsi="宋体" w:eastAsia="宋体" w:cs="Times New Roman"/>
          <w:sz w:val="24"/>
          <w:szCs w:val="24"/>
        </w:rPr>
        <w:t>C12</w:t>
      </w:r>
      <w:r>
        <w:rPr>
          <w:rFonts w:hint="eastAsia" w:ascii="宋体" w:hAnsi="宋体" w:eastAsia="宋体" w:cs="Times New Roman"/>
          <w:sz w:val="24"/>
          <w:szCs w:val="24"/>
        </w:rPr>
        <w:t>标准针对车载以太网（100</w:t>
      </w:r>
      <w:r>
        <w:rPr>
          <w:rFonts w:ascii="宋体" w:hAnsi="宋体" w:eastAsia="宋体" w:cs="Times New Roman"/>
          <w:sz w:val="24"/>
          <w:szCs w:val="24"/>
        </w:rPr>
        <w:t>/1000</w:t>
      </w:r>
      <w:r>
        <w:rPr>
          <w:rFonts w:hint="eastAsia" w:ascii="宋体" w:hAnsi="宋体" w:eastAsia="宋体" w:cs="Times New Roman"/>
          <w:sz w:val="24"/>
          <w:szCs w:val="24"/>
        </w:rPr>
        <w:t>BASE-T1）物理层P</w:t>
      </w:r>
      <w:r>
        <w:rPr>
          <w:rFonts w:ascii="宋体" w:hAnsi="宋体" w:eastAsia="宋体" w:cs="Times New Roman"/>
          <w:sz w:val="24"/>
          <w:szCs w:val="24"/>
        </w:rPr>
        <w:t>MA</w:t>
      </w:r>
      <w:r>
        <w:rPr>
          <w:rFonts w:hint="eastAsia" w:ascii="宋体" w:hAnsi="宋体" w:eastAsia="宋体" w:cs="Times New Roman"/>
          <w:sz w:val="24"/>
          <w:szCs w:val="24"/>
        </w:rPr>
        <w:t>及I</w:t>
      </w:r>
      <w:r>
        <w:rPr>
          <w:rFonts w:ascii="宋体" w:hAnsi="宋体" w:eastAsia="宋体" w:cs="Times New Roman"/>
          <w:sz w:val="24"/>
          <w:szCs w:val="24"/>
        </w:rPr>
        <w:t>OP</w:t>
      </w:r>
      <w:r>
        <w:rPr>
          <w:rFonts w:hint="eastAsia" w:ascii="宋体" w:hAnsi="宋体" w:eastAsia="宋体" w:cs="Times New Roman"/>
          <w:sz w:val="24"/>
          <w:szCs w:val="24"/>
        </w:rPr>
        <w:t>的一致性测试要求。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此部分测试执行要求做到参数化配置，即在切换不同平台控制器时不需要做脚本更改，只需参数化配置即可执行相关测试。</w:t>
      </w:r>
    </w:p>
    <w:p>
      <w:pPr>
        <w:keepNext/>
        <w:keepLines/>
        <w:spacing w:line="320" w:lineRule="auto"/>
        <w:outlineLvl w:val="6"/>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.3.2.3</w:t>
      </w:r>
      <w:r>
        <w:rPr>
          <w:rFonts w:hint="eastAsia" w:ascii="宋体" w:hAnsi="宋体" w:eastAsia="宋体" w:cs="Times New Roman"/>
          <w:sz w:val="24"/>
          <w:szCs w:val="24"/>
        </w:rPr>
        <w:t>交换机功能及性能测试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1）具备多种帧发送模式（MAC帧、VLAN帧、IP报文等），至少包括基于端口（每端口的速率）、基于流（每个流的速率）、突发、定时。</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）可以在同一端口同时发送恒定流量及突发流量。可以为不同测试流设定优先级，高优先级的流量保证其按设定值恒定发送。</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）支持多种帧尺寸，至少支持60Byte至10240Byte。</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支持误码率测试；具备流分析与过滤能力，用户可通过过滤器任意跟踪、分类、统计分析流量，过滤条件可按流量性能指标自定义设置，可以对过滤器实现逻辑与、或、非运算，实现组合条件分析或抓包触发。</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）可以针对测试的流量进行抓包，过滤报文关键字段。</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）支持异常数据发送，验证</w:t>
      </w:r>
      <w:r>
        <w:rPr>
          <w:rFonts w:ascii="宋体" w:hAnsi="宋体" w:eastAsia="宋体" w:cs="Times New Roman"/>
          <w:sz w:val="24"/>
          <w:szCs w:val="24"/>
        </w:rPr>
        <w:t>DUT</w:t>
      </w:r>
      <w:r>
        <w:rPr>
          <w:rFonts w:hint="eastAsia" w:ascii="宋体" w:hAnsi="宋体" w:eastAsia="宋体" w:cs="Times New Roman"/>
          <w:sz w:val="24"/>
          <w:szCs w:val="24"/>
        </w:rPr>
        <w:t>在收到非法报文或者是非正常流量报文等逆向情况下的处理方式。</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7）能够解析接收到的报文格式和内容，确认报头格式是否正确，报文内容是否和期望值保持一致。</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8</w:t>
      </w:r>
      <w:r>
        <w:rPr>
          <w:rFonts w:hint="eastAsia" w:ascii="宋体" w:hAnsi="宋体" w:eastAsia="宋体" w:cs="Times New Roman"/>
          <w:sz w:val="24"/>
          <w:szCs w:val="24"/>
        </w:rPr>
        <w:t>）预装RFC 2544和RFC 2889许可，满足RFC</w:t>
      </w:r>
      <w:r>
        <w:rPr>
          <w:rFonts w:ascii="宋体" w:hAnsi="宋体" w:eastAsia="宋体" w:cs="Times New Roman"/>
          <w:sz w:val="24"/>
          <w:szCs w:val="24"/>
        </w:rPr>
        <w:t xml:space="preserve"> </w:t>
      </w:r>
      <w:r>
        <w:rPr>
          <w:rFonts w:hint="eastAsia" w:ascii="宋体" w:hAnsi="宋体" w:eastAsia="宋体" w:cs="Times New Roman"/>
          <w:sz w:val="24"/>
          <w:szCs w:val="24"/>
        </w:rPr>
        <w:t>2544及RFC</w:t>
      </w:r>
      <w:r>
        <w:rPr>
          <w:rFonts w:ascii="宋体" w:hAnsi="宋体" w:eastAsia="宋体" w:cs="Times New Roman"/>
          <w:sz w:val="24"/>
          <w:szCs w:val="24"/>
        </w:rPr>
        <w:t xml:space="preserve"> </w:t>
      </w:r>
      <w:r>
        <w:rPr>
          <w:rFonts w:hint="eastAsia" w:ascii="宋体" w:hAnsi="宋体" w:eastAsia="宋体" w:cs="Times New Roman"/>
          <w:sz w:val="24"/>
          <w:szCs w:val="24"/>
        </w:rPr>
        <w:t>2889标准对交换机性能测试要求，满足OPEN TC8 V3.0对交换机功能测试要求。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9</w:t>
      </w:r>
      <w:r>
        <w:rPr>
          <w:rFonts w:hint="eastAsia" w:ascii="宋体" w:hAnsi="宋体" w:eastAsia="宋体" w:cs="Times New Roman"/>
          <w:sz w:val="24"/>
          <w:szCs w:val="24"/>
        </w:rPr>
        <w:t>）此部分测试执行要求做到参数化配置，即在切换不同平台控制器时不需要做脚本更改，只需参数化配置即可执行相关测试。</w:t>
      </w:r>
    </w:p>
    <w:p>
      <w:pPr>
        <w:keepNext/>
        <w:keepLines/>
        <w:spacing w:line="320" w:lineRule="auto"/>
        <w:outlineLvl w:val="6"/>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.3.2.4</w:t>
      </w:r>
      <w:r>
        <w:rPr>
          <w:rFonts w:hint="eastAsia" w:ascii="宋体" w:hAnsi="宋体" w:eastAsia="宋体" w:cs="Times New Roman"/>
          <w:sz w:val="24"/>
          <w:szCs w:val="24"/>
        </w:rPr>
        <w:t>符合T</w:t>
      </w:r>
      <w:r>
        <w:rPr>
          <w:rFonts w:ascii="宋体" w:hAnsi="宋体" w:eastAsia="宋体" w:cs="Times New Roman"/>
          <w:sz w:val="24"/>
          <w:szCs w:val="24"/>
        </w:rPr>
        <w:t>C8</w:t>
      </w:r>
      <w:r>
        <w:rPr>
          <w:rFonts w:hint="eastAsia" w:ascii="宋体" w:hAnsi="宋体" w:eastAsia="宋体" w:cs="Times New Roman"/>
          <w:sz w:val="24"/>
          <w:szCs w:val="24"/>
        </w:rPr>
        <w:t>中L</w:t>
      </w:r>
      <w:r>
        <w:rPr>
          <w:rFonts w:ascii="宋体" w:hAnsi="宋体" w:eastAsia="宋体" w:cs="Times New Roman"/>
          <w:sz w:val="24"/>
          <w:szCs w:val="24"/>
        </w:rPr>
        <w:t>3</w:t>
      </w:r>
      <w:r>
        <w:rPr>
          <w:rFonts w:hint="eastAsia" w:ascii="宋体" w:hAnsi="宋体" w:eastAsia="宋体" w:cs="Times New Roman"/>
          <w:sz w:val="24"/>
          <w:szCs w:val="24"/>
        </w:rPr>
        <w:t>～L</w:t>
      </w:r>
      <w:r>
        <w:rPr>
          <w:rFonts w:ascii="宋体" w:hAnsi="宋体" w:eastAsia="宋体" w:cs="Times New Roman"/>
          <w:sz w:val="24"/>
          <w:szCs w:val="24"/>
        </w:rPr>
        <w:t>7</w:t>
      </w:r>
      <w:r>
        <w:rPr>
          <w:rFonts w:hint="eastAsia" w:ascii="宋体" w:hAnsi="宋体" w:eastAsia="宋体" w:cs="Times New Roman"/>
          <w:sz w:val="24"/>
          <w:szCs w:val="24"/>
        </w:rPr>
        <w:t>层标准化的一致性测试</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1）上位机软件具备测试脚本开发、调试和测试执行功能，并集成底层通信适配和编解码器开发环境。满足现有测试用例的执行，同时要求测试套件为开源，可后续进行扩展用例的开发。</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2）支持采用文本和图形化格式快速定义测试用例；支持完整的自动化测试流程；具备脚本语言编译器，能够将代码编译为可执行程序。</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3）能够管理和执行已编译的测试用例，并能够对测试结果进行分析。</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）支持功能扩展插件的引入和运行。</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5）集成测试执行监控环境，提供测试执行过程中实时测试情况，实时测试结果分析。</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6）满足OPEN TC8 V3.0对TCP/IP协议族测试要求（A</w:t>
      </w:r>
      <w:r>
        <w:rPr>
          <w:rFonts w:ascii="宋体" w:hAnsi="宋体" w:eastAsia="宋体" w:cs="Times New Roman"/>
          <w:sz w:val="24"/>
          <w:szCs w:val="24"/>
        </w:rPr>
        <w:t>RP</w:t>
      </w:r>
      <w:r>
        <w:rPr>
          <w:rFonts w:hint="eastAsia" w:ascii="宋体" w:hAnsi="宋体" w:eastAsia="宋体" w:cs="Times New Roman"/>
          <w:sz w:val="24"/>
          <w:szCs w:val="24"/>
        </w:rPr>
        <w:t>、I</w:t>
      </w:r>
      <w:r>
        <w:rPr>
          <w:rFonts w:ascii="宋体" w:hAnsi="宋体" w:eastAsia="宋体" w:cs="Times New Roman"/>
          <w:sz w:val="24"/>
          <w:szCs w:val="24"/>
        </w:rPr>
        <w:t>CMP</w:t>
      </w:r>
      <w:r>
        <w:rPr>
          <w:rFonts w:hint="eastAsia" w:ascii="宋体" w:hAnsi="宋体" w:eastAsia="宋体" w:cs="Times New Roman"/>
          <w:sz w:val="24"/>
          <w:szCs w:val="24"/>
        </w:rPr>
        <w:t>、</w:t>
      </w:r>
      <w:r>
        <w:rPr>
          <w:rFonts w:ascii="宋体" w:hAnsi="宋体" w:eastAsia="宋体" w:cs="Times New Roman"/>
          <w:sz w:val="24"/>
          <w:szCs w:val="24"/>
        </w:rPr>
        <w:t>IP</w:t>
      </w:r>
      <w:r>
        <w:rPr>
          <w:rFonts w:hint="eastAsia" w:ascii="宋体" w:hAnsi="宋体" w:eastAsia="宋体" w:cs="Times New Roman"/>
          <w:sz w:val="24"/>
          <w:szCs w:val="24"/>
        </w:rPr>
        <w:t>、</w:t>
      </w:r>
      <w:r>
        <w:rPr>
          <w:rFonts w:ascii="宋体" w:hAnsi="宋体" w:eastAsia="宋体" w:cs="Times New Roman"/>
          <w:sz w:val="24"/>
          <w:szCs w:val="24"/>
        </w:rPr>
        <w:t>TCP</w:t>
      </w:r>
      <w:r>
        <w:rPr>
          <w:rFonts w:hint="eastAsia" w:ascii="宋体" w:hAnsi="宋体" w:eastAsia="宋体" w:cs="Times New Roman"/>
          <w:sz w:val="24"/>
          <w:szCs w:val="24"/>
        </w:rPr>
        <w:t>、</w:t>
      </w:r>
      <w:r>
        <w:rPr>
          <w:rFonts w:ascii="宋体" w:hAnsi="宋体" w:eastAsia="宋体" w:cs="Times New Roman"/>
          <w:sz w:val="24"/>
          <w:szCs w:val="24"/>
        </w:rPr>
        <w:t>UDP</w:t>
      </w:r>
      <w:r>
        <w:rPr>
          <w:rFonts w:hint="eastAsia" w:ascii="宋体" w:hAnsi="宋体" w:eastAsia="宋体" w:cs="Times New Roman"/>
          <w:sz w:val="24"/>
          <w:szCs w:val="24"/>
        </w:rPr>
        <w:t>、</w:t>
      </w:r>
      <w:r>
        <w:rPr>
          <w:rFonts w:ascii="宋体" w:hAnsi="宋体" w:eastAsia="宋体" w:cs="Times New Roman"/>
          <w:sz w:val="24"/>
          <w:szCs w:val="24"/>
        </w:rPr>
        <w:t>DHCP</w:t>
      </w:r>
      <w:r>
        <w:rPr>
          <w:rFonts w:hint="eastAsia" w:ascii="宋体" w:hAnsi="宋体" w:eastAsia="宋体" w:cs="Times New Roman"/>
          <w:sz w:val="24"/>
          <w:szCs w:val="24"/>
        </w:rPr>
        <w:t>），提供UpperTester（U</w:t>
      </w:r>
      <w:r>
        <w:rPr>
          <w:rFonts w:ascii="宋体" w:hAnsi="宋体" w:eastAsia="宋体" w:cs="Times New Roman"/>
          <w:sz w:val="24"/>
          <w:szCs w:val="24"/>
        </w:rPr>
        <w:t>T</w:t>
      </w:r>
      <w:r>
        <w:rPr>
          <w:rFonts w:hint="eastAsia" w:ascii="宋体" w:hAnsi="宋体" w:eastAsia="宋体" w:cs="Times New Roman"/>
          <w:sz w:val="24"/>
          <w:szCs w:val="24"/>
        </w:rPr>
        <w:t>）软件源码，支持C</w:t>
      </w:r>
      <w:r>
        <w:rPr>
          <w:rFonts w:ascii="宋体" w:hAnsi="宋体" w:eastAsia="宋体" w:cs="Times New Roman"/>
          <w:sz w:val="24"/>
          <w:szCs w:val="24"/>
        </w:rPr>
        <w:t>P</w:t>
      </w:r>
      <w:r>
        <w:rPr>
          <w:rFonts w:hint="eastAsia" w:ascii="宋体" w:hAnsi="宋体" w:eastAsia="宋体" w:cs="Times New Roman"/>
          <w:sz w:val="24"/>
          <w:szCs w:val="24"/>
        </w:rPr>
        <w:t>及A</w:t>
      </w:r>
      <w:r>
        <w:rPr>
          <w:rFonts w:ascii="宋体" w:hAnsi="宋体" w:eastAsia="宋体" w:cs="Times New Roman"/>
          <w:sz w:val="24"/>
          <w:szCs w:val="24"/>
        </w:rPr>
        <w:t>P</w:t>
      </w:r>
      <w:r>
        <w:rPr>
          <w:rFonts w:hint="eastAsia" w:ascii="宋体" w:hAnsi="宋体" w:eastAsia="宋体" w:cs="Times New Roman"/>
          <w:sz w:val="24"/>
          <w:szCs w:val="24"/>
        </w:rPr>
        <w:t>系统架构，支持AUTOSAR最新版本的系统环境以及</w:t>
      </w:r>
      <w:r>
        <w:rPr>
          <w:rFonts w:ascii="宋体" w:hAnsi="宋体" w:eastAsia="宋体" w:cs="Times New Roman"/>
          <w:sz w:val="24"/>
          <w:szCs w:val="24"/>
        </w:rPr>
        <w:t>QNX</w:t>
      </w:r>
      <w:r>
        <w:rPr>
          <w:rFonts w:hint="eastAsia" w:ascii="宋体" w:hAnsi="宋体" w:eastAsia="宋体" w:cs="Times New Roman"/>
          <w:sz w:val="24"/>
          <w:szCs w:val="24"/>
        </w:rPr>
        <w:t>、Linux、Android等常用系统。</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7）满足OPEN TC8 V3.0对SOME/IP协议测试要求，提供</w:t>
      </w:r>
      <w:r>
        <w:rPr>
          <w:rFonts w:ascii="宋体" w:hAnsi="宋体" w:eastAsia="宋体" w:cs="Times New Roman"/>
          <w:sz w:val="24"/>
          <w:szCs w:val="24"/>
        </w:rPr>
        <w:t>ETS</w:t>
      </w:r>
      <w:r>
        <w:rPr>
          <w:rFonts w:hint="eastAsia" w:ascii="宋体" w:hAnsi="宋体" w:eastAsia="宋体" w:cs="Times New Roman"/>
          <w:sz w:val="24"/>
          <w:szCs w:val="24"/>
        </w:rPr>
        <w:t>标准通讯矩阵，支持C</w:t>
      </w:r>
      <w:r>
        <w:rPr>
          <w:rFonts w:ascii="宋体" w:hAnsi="宋体" w:eastAsia="宋体" w:cs="Times New Roman"/>
          <w:sz w:val="24"/>
          <w:szCs w:val="24"/>
        </w:rPr>
        <w:t>P</w:t>
      </w:r>
      <w:r>
        <w:rPr>
          <w:rFonts w:hint="eastAsia" w:ascii="宋体" w:hAnsi="宋体" w:eastAsia="宋体" w:cs="Times New Roman"/>
          <w:sz w:val="24"/>
          <w:szCs w:val="24"/>
        </w:rPr>
        <w:t>及A</w:t>
      </w:r>
      <w:r>
        <w:rPr>
          <w:rFonts w:ascii="宋体" w:hAnsi="宋体" w:eastAsia="宋体" w:cs="Times New Roman"/>
          <w:sz w:val="24"/>
          <w:szCs w:val="24"/>
        </w:rPr>
        <w:t>P</w:t>
      </w:r>
      <w:r>
        <w:rPr>
          <w:rFonts w:hint="eastAsia" w:ascii="宋体" w:hAnsi="宋体" w:eastAsia="宋体" w:cs="Times New Roman"/>
          <w:sz w:val="24"/>
          <w:szCs w:val="24"/>
        </w:rPr>
        <w:t>系统架构，支持AUTOSAR最新版本的系统环境以及</w:t>
      </w:r>
      <w:r>
        <w:rPr>
          <w:rFonts w:ascii="宋体" w:hAnsi="宋体" w:eastAsia="宋体" w:cs="Times New Roman"/>
          <w:sz w:val="24"/>
          <w:szCs w:val="24"/>
        </w:rPr>
        <w:t>QNX</w:t>
      </w:r>
      <w:r>
        <w:rPr>
          <w:rFonts w:hint="eastAsia" w:ascii="宋体" w:hAnsi="宋体" w:eastAsia="宋体" w:cs="Times New Roman"/>
          <w:sz w:val="24"/>
          <w:szCs w:val="24"/>
        </w:rPr>
        <w:t>、Linux、Android等常用系统。</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8）能组装并发送</w:t>
      </w:r>
      <w:r>
        <w:rPr>
          <w:rFonts w:ascii="宋体" w:hAnsi="宋体" w:eastAsia="宋体" w:cs="Times New Roman"/>
          <w:sz w:val="24"/>
          <w:szCs w:val="24"/>
        </w:rPr>
        <w:t>TCP/IP</w:t>
      </w:r>
      <w:r>
        <w:rPr>
          <w:rFonts w:hint="eastAsia" w:ascii="宋体" w:hAnsi="宋体" w:eastAsia="宋体" w:cs="Times New Roman"/>
          <w:sz w:val="24"/>
          <w:szCs w:val="24"/>
        </w:rPr>
        <w:t>协议族数据包，支持仿真并发送</w:t>
      </w:r>
      <w:r>
        <w:rPr>
          <w:rFonts w:ascii="宋体" w:hAnsi="宋体" w:eastAsia="宋体" w:cs="Times New Roman"/>
          <w:sz w:val="24"/>
          <w:szCs w:val="24"/>
        </w:rPr>
        <w:t>SOME/IP</w:t>
      </w:r>
      <w:r>
        <w:rPr>
          <w:rFonts w:hint="eastAsia" w:ascii="宋体" w:hAnsi="宋体" w:eastAsia="宋体" w:cs="Times New Roman"/>
          <w:sz w:val="24"/>
          <w:szCs w:val="24"/>
        </w:rPr>
        <w:t>及</w:t>
      </w:r>
      <w:r>
        <w:rPr>
          <w:rFonts w:ascii="宋体" w:hAnsi="宋体" w:eastAsia="宋体" w:cs="Times New Roman"/>
          <w:sz w:val="24"/>
          <w:szCs w:val="24"/>
        </w:rPr>
        <w:t>SD</w:t>
      </w:r>
      <w:r>
        <w:rPr>
          <w:rFonts w:hint="eastAsia" w:ascii="宋体" w:hAnsi="宋体" w:eastAsia="宋体" w:cs="Times New Roman"/>
          <w:sz w:val="24"/>
          <w:szCs w:val="24"/>
        </w:rPr>
        <w:t>信息，支持与</w:t>
      </w:r>
      <w:r>
        <w:rPr>
          <w:rFonts w:ascii="宋体" w:hAnsi="宋体" w:eastAsia="宋体" w:cs="Times New Roman"/>
          <w:sz w:val="24"/>
          <w:szCs w:val="24"/>
        </w:rPr>
        <w:t>DUT</w:t>
      </w:r>
      <w:r>
        <w:rPr>
          <w:rFonts w:hint="eastAsia" w:ascii="宋体" w:hAnsi="宋体" w:eastAsia="宋体" w:cs="Times New Roman"/>
          <w:sz w:val="24"/>
          <w:szCs w:val="24"/>
        </w:rPr>
        <w:t>之间进行协议信息交互，解析接收到的报文格式和内容，确认报头格式是否正确，报文内容是否和期望值保持一致。</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9）支持异常数据发送，验证</w:t>
      </w:r>
      <w:r>
        <w:rPr>
          <w:rFonts w:ascii="宋体" w:hAnsi="宋体" w:eastAsia="宋体" w:cs="Times New Roman"/>
          <w:sz w:val="24"/>
          <w:szCs w:val="24"/>
        </w:rPr>
        <w:t>DUT</w:t>
      </w:r>
      <w:r>
        <w:rPr>
          <w:rFonts w:hint="eastAsia" w:ascii="宋体" w:hAnsi="宋体" w:eastAsia="宋体" w:cs="Times New Roman"/>
          <w:sz w:val="24"/>
          <w:szCs w:val="24"/>
        </w:rPr>
        <w:t>在收到非法报文或者是非正常流量报文等逆向情况下的处理方式。</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10</w:t>
      </w:r>
      <w:r>
        <w:rPr>
          <w:rFonts w:hint="eastAsia" w:ascii="宋体" w:hAnsi="宋体" w:eastAsia="宋体" w:cs="Times New Roman"/>
          <w:sz w:val="24"/>
          <w:szCs w:val="24"/>
        </w:rPr>
        <w:t>）提供接口可以供上层软件调用。</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11</w:t>
      </w:r>
      <w:r>
        <w:rPr>
          <w:rFonts w:hint="eastAsia" w:ascii="宋体" w:hAnsi="宋体" w:eastAsia="宋体" w:cs="Times New Roman"/>
          <w:sz w:val="24"/>
          <w:szCs w:val="24"/>
        </w:rPr>
        <w:t>）此部分测试执行要求做到参数化配置，即在切换不同平台控制器时不需要做脚本更改，只需参数化配置即可执行相关测试。</w:t>
      </w:r>
    </w:p>
    <w:p>
      <w:pPr>
        <w:keepNext/>
        <w:keepLines/>
        <w:spacing w:line="320" w:lineRule="auto"/>
        <w:outlineLvl w:val="6"/>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.3.2.5</w:t>
      </w:r>
      <w:r>
        <w:rPr>
          <w:rFonts w:hint="eastAsia" w:ascii="宋体" w:hAnsi="宋体" w:eastAsia="宋体" w:cs="Times New Roman"/>
          <w:sz w:val="24"/>
          <w:szCs w:val="24"/>
        </w:rPr>
        <w:t>其他要求</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1）诊断支持</w:t>
      </w:r>
      <w:r>
        <w:rPr>
          <w:rFonts w:ascii="宋体" w:hAnsi="宋体" w:eastAsia="宋体" w:cs="Times New Roman"/>
          <w:sz w:val="24"/>
          <w:szCs w:val="24"/>
        </w:rPr>
        <w:t>UDS、D</w:t>
      </w:r>
      <w:r>
        <w:rPr>
          <w:rFonts w:hint="eastAsia" w:ascii="宋体" w:hAnsi="宋体" w:eastAsia="宋体" w:cs="Times New Roman"/>
          <w:sz w:val="24"/>
          <w:szCs w:val="24"/>
        </w:rPr>
        <w:t>o</w:t>
      </w:r>
      <w:r>
        <w:rPr>
          <w:rFonts w:ascii="宋体" w:hAnsi="宋体" w:eastAsia="宋体" w:cs="Times New Roman"/>
          <w:sz w:val="24"/>
          <w:szCs w:val="24"/>
        </w:rPr>
        <w:t>IP协议，支持通过诊断调查问卷形式自动配置测试参数，执行自动化测试用例。</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2）支持以太网休眠唤醒测试（U</w:t>
      </w:r>
      <w:r>
        <w:rPr>
          <w:rFonts w:ascii="宋体" w:hAnsi="宋体" w:eastAsia="宋体" w:cs="Times New Roman"/>
          <w:sz w:val="24"/>
          <w:szCs w:val="24"/>
        </w:rPr>
        <w:t>DPNM</w:t>
      </w:r>
      <w:r>
        <w:rPr>
          <w:rFonts w:hint="eastAsia" w:ascii="宋体" w:hAnsi="宋体" w:eastAsia="宋体" w:cs="Times New Roman"/>
          <w:sz w:val="24"/>
          <w:szCs w:val="24"/>
        </w:rPr>
        <w:t>）。</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3）支持车载以太网系统级测试。</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4）支持</w:t>
      </w:r>
      <w:r>
        <w:rPr>
          <w:rFonts w:ascii="宋体" w:hAnsi="宋体" w:eastAsia="宋体" w:cs="Times New Roman"/>
          <w:sz w:val="24"/>
          <w:szCs w:val="24"/>
        </w:rPr>
        <w:t>Ethernet</w:t>
      </w:r>
      <w:r>
        <w:rPr>
          <w:rFonts w:hint="eastAsia" w:ascii="宋体" w:hAnsi="宋体" w:eastAsia="宋体" w:cs="Times New Roman"/>
          <w:sz w:val="24"/>
          <w:szCs w:val="24"/>
        </w:rPr>
        <w:t>刷写测试。</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支持以太网网关路由测试，路由支持对网关不同端口的信号模拟和监测，检测网关对不同信号的路由格式、内容、时间等；能够保证不同类型报文的发送和接收时间基准保持一致；并支持异常数据发送，比如非法报头数据等，验证网关在收到非法报文或者是非正常流量报文等逆向情况下的处理方式。</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）支持AVB/TSN测试，支持IEEE 802.1AS、</w:t>
      </w:r>
      <w:r>
        <w:rPr>
          <w:rFonts w:ascii="宋体" w:hAnsi="宋体" w:eastAsia="宋体" w:cs="Times New Roman"/>
          <w:sz w:val="24"/>
          <w:szCs w:val="24"/>
        </w:rPr>
        <w:t>IEEE 1722</w:t>
      </w:r>
      <w:r>
        <w:rPr>
          <w:rFonts w:hint="eastAsia" w:ascii="宋体" w:hAnsi="宋体" w:eastAsia="宋体" w:cs="Times New Roman"/>
          <w:sz w:val="24"/>
          <w:szCs w:val="24"/>
        </w:rPr>
        <w:t>、</w:t>
      </w:r>
      <w:r>
        <w:rPr>
          <w:rFonts w:ascii="宋体" w:hAnsi="宋体" w:eastAsia="宋体" w:cs="Times New Roman"/>
          <w:sz w:val="24"/>
          <w:szCs w:val="24"/>
        </w:rPr>
        <w:t>IEEE 802.1 Qav</w:t>
      </w:r>
      <w:r>
        <w:rPr>
          <w:rFonts w:hint="eastAsia" w:ascii="宋体" w:hAnsi="宋体" w:eastAsia="宋体" w:cs="Times New Roman"/>
          <w:sz w:val="24"/>
          <w:szCs w:val="24"/>
        </w:rPr>
        <w:t>、IEEE 802.1Qbv、</w:t>
      </w:r>
      <w:r>
        <w:rPr>
          <w:rFonts w:ascii="宋体" w:hAnsi="宋体" w:eastAsia="宋体" w:cs="Times New Roman"/>
          <w:sz w:val="24"/>
          <w:szCs w:val="24"/>
        </w:rPr>
        <w:t>IEEE 802.1Qci</w:t>
      </w:r>
      <w:r>
        <w:rPr>
          <w:rFonts w:hint="eastAsia" w:ascii="宋体" w:hAnsi="宋体" w:eastAsia="宋体" w:cs="Times New Roman"/>
          <w:sz w:val="24"/>
          <w:szCs w:val="24"/>
        </w:rPr>
        <w:t>、</w:t>
      </w:r>
      <w:r>
        <w:rPr>
          <w:rFonts w:ascii="宋体" w:hAnsi="宋体" w:eastAsia="宋体" w:cs="Times New Roman"/>
          <w:sz w:val="24"/>
          <w:szCs w:val="24"/>
        </w:rPr>
        <w:t>IEEE 802.1CB</w:t>
      </w:r>
      <w:r>
        <w:rPr>
          <w:rFonts w:hint="eastAsia" w:ascii="宋体" w:hAnsi="宋体" w:eastAsia="宋体" w:cs="Times New Roman"/>
          <w:sz w:val="24"/>
          <w:szCs w:val="24"/>
        </w:rPr>
        <w:t>。</w:t>
      </w:r>
    </w:p>
    <w:p>
      <w:pPr>
        <w:keepNext/>
        <w:keepLines/>
        <w:spacing w:line="376" w:lineRule="auto"/>
        <w:outlineLvl w:val="4"/>
        <w:rPr>
          <w:rFonts w:ascii="宋体" w:hAnsi="宋体" w:eastAsia="宋体" w:cs="Times New Roman"/>
          <w:sz w:val="24"/>
          <w:szCs w:val="24"/>
        </w:rPr>
      </w:pPr>
      <w:r>
        <w:rPr>
          <w:rFonts w:ascii="宋体" w:hAnsi="宋体" w:eastAsia="宋体" w:cs="Times New Roman"/>
          <w:sz w:val="24"/>
          <w:szCs w:val="24"/>
        </w:rPr>
        <w:t>2.4</w:t>
      </w:r>
      <w:r>
        <w:rPr>
          <w:rFonts w:hint="eastAsia" w:ascii="宋体" w:hAnsi="宋体" w:eastAsia="宋体" w:cs="Times New Roman"/>
          <w:sz w:val="24"/>
          <w:szCs w:val="24"/>
        </w:rPr>
        <w:t>测试规范及测试用例要求</w:t>
      </w:r>
    </w:p>
    <w:p>
      <w:pPr>
        <w:spacing w:line="420" w:lineRule="exact"/>
        <w:ind w:firstLine="420"/>
        <w:rPr>
          <w:rFonts w:ascii="宋体" w:hAnsi="宋体" w:eastAsia="宋体" w:cs="Times New Roman"/>
          <w:sz w:val="24"/>
          <w:szCs w:val="24"/>
        </w:rPr>
      </w:pPr>
      <w:r>
        <w:rPr>
          <w:rFonts w:hint="eastAsia" w:ascii="宋体" w:hAnsi="宋体" w:eastAsia="宋体" w:cs="Times New Roman"/>
          <w:sz w:val="24"/>
          <w:szCs w:val="24"/>
        </w:rPr>
        <w:t>针对所有测试内容，投标方需提供详细的测试规范和与之对应的测试用例（按附件1</w:t>
      </w:r>
      <w:r>
        <w:rPr>
          <w:rFonts w:ascii="宋体" w:hAnsi="宋体" w:eastAsia="宋体" w:cs="Times New Roman"/>
          <w:sz w:val="24"/>
          <w:szCs w:val="24"/>
        </w:rPr>
        <w:t>8</w:t>
      </w:r>
      <w:r>
        <w:rPr>
          <w:rFonts w:hint="eastAsia" w:ascii="宋体" w:hAnsi="宋体" w:eastAsia="宋体" w:cs="Times New Roman"/>
          <w:sz w:val="24"/>
          <w:szCs w:val="24"/>
        </w:rPr>
        <w:t>表模板详细列明测试用例条目），测试用例及测试规范满足如下要求：</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.4.1</w:t>
      </w:r>
      <w:r>
        <w:rPr>
          <w:rFonts w:hint="eastAsia" w:ascii="宋体" w:hAnsi="宋体" w:eastAsia="宋体" w:cs="Times New Roman"/>
          <w:sz w:val="24"/>
          <w:szCs w:val="24"/>
        </w:rPr>
        <w:t>物理层测试</w:t>
      </w:r>
    </w:p>
    <w:p>
      <w:pPr>
        <w:spacing w:line="420" w:lineRule="exact"/>
        <w:ind w:firstLine="420"/>
        <w:rPr>
          <w:rFonts w:ascii="宋体" w:hAnsi="宋体" w:eastAsia="宋体" w:cs="Times New Roman"/>
          <w:sz w:val="24"/>
          <w:szCs w:val="24"/>
        </w:rPr>
      </w:pPr>
      <w:bookmarkStart w:id="41" w:name="_Hlk133393562"/>
      <w:r>
        <w:rPr>
          <w:rFonts w:hint="eastAsia" w:ascii="宋体" w:hAnsi="宋体" w:eastAsia="宋体" w:cs="Times New Roman"/>
          <w:sz w:val="24"/>
          <w:szCs w:val="24"/>
        </w:rPr>
        <w:t>1）PMA测试：</w:t>
      </w:r>
    </w:p>
    <w:p>
      <w:pPr>
        <w:spacing w:line="420" w:lineRule="exact"/>
        <w:ind w:firstLine="42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车载以太网物理层（100BASE-T1）测试满足TC8 V3.0标准。测试内容包含但不限于发射机输出压降、发射机时基抖动、发射时钟频率、发射机功率谱密度、MDI回波损耗、MDI模式转换、MDI共模发射、发射器失真测试；</w:t>
      </w:r>
    </w:p>
    <w:p>
      <w:pPr>
        <w:spacing w:line="420" w:lineRule="exact"/>
        <w:ind w:firstLine="42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车载以太网物理层（1000BASE-T1）测试满足TC12标准。测试内容包含但不限于发射机输出压降、发射机时基抖动、发射时钟频率、发射机功率谱密度、发射机差分峰值、MDI回波损耗、发射器失真测试。</w:t>
      </w:r>
    </w:p>
    <w:p>
      <w:pPr>
        <w:spacing w:line="420" w:lineRule="exact"/>
        <w:ind w:firstLine="42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）IOP测试包含但不限于：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链路建立时间相关测试：测试设备上电的链路建立时间测试；ECU上电的链路建立时间测试；ECU唤醒的链路建立时间测试；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信号质量测试：随着信道质量减小的信号质量指示；随着信道质量增加的信号质量指示；</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线缆诊断测试：电缆近端、远端开路诊断；电缆近端、远端短路诊断。</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.4.2</w:t>
      </w:r>
      <w:r>
        <w:rPr>
          <w:rFonts w:hint="eastAsia" w:ascii="宋体" w:hAnsi="宋体" w:eastAsia="宋体" w:cs="Times New Roman"/>
          <w:sz w:val="24"/>
          <w:szCs w:val="24"/>
        </w:rPr>
        <w:t>交换机性能测试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交换机器性能测试满足RFC</w:t>
      </w:r>
      <w:r>
        <w:rPr>
          <w:rFonts w:ascii="宋体" w:hAnsi="宋体" w:eastAsia="宋体" w:cs="Times New Roman"/>
          <w:sz w:val="24"/>
          <w:szCs w:val="24"/>
        </w:rPr>
        <w:t xml:space="preserve"> </w:t>
      </w:r>
      <w:r>
        <w:rPr>
          <w:rFonts w:hint="eastAsia" w:ascii="宋体" w:hAnsi="宋体" w:eastAsia="宋体" w:cs="Times New Roman"/>
          <w:sz w:val="24"/>
          <w:szCs w:val="24"/>
        </w:rPr>
        <w:t>2544及RFC</w:t>
      </w:r>
      <w:r>
        <w:rPr>
          <w:rFonts w:ascii="宋体" w:hAnsi="宋体" w:eastAsia="宋体" w:cs="Times New Roman"/>
          <w:sz w:val="24"/>
          <w:szCs w:val="24"/>
        </w:rPr>
        <w:t xml:space="preserve"> </w:t>
      </w:r>
      <w:r>
        <w:rPr>
          <w:rFonts w:hint="eastAsia" w:ascii="宋体" w:hAnsi="宋体" w:eastAsia="宋体" w:cs="Times New Roman"/>
          <w:sz w:val="24"/>
          <w:szCs w:val="24"/>
        </w:rPr>
        <w:t>2889标准，测试内容包含但不限于：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吞吐量测试；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时延及抖动测试；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丢帧率测试；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背靠背测试；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全网转发_转发速率测试；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全网转发_转发吞吐量测试；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部分网络一对多/多对一测试；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部分网络多设备_转发速率测试；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部分网络多设备_转发吞吐量测试；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部分网络单向通讯_转发速率测试；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部分网络单向通讯_转发吞吐量测试；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拥塞控制测试；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转发压力测试；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最大转发速率测试；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地址缓存能力测试；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地址学习速率测试；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错误帧过滤测试；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广播帧转发测试；</w:t>
      </w:r>
    </w:p>
    <w:p>
      <w:pPr>
        <w:spacing w:line="420" w:lineRule="exact"/>
        <w:ind w:firstLine="480" w:firstLineChars="200"/>
        <w:rPr>
          <w:rFonts w:ascii="宋体" w:hAnsi="宋体" w:eastAsia="宋体" w:cs="Times New Roman"/>
          <w:sz w:val="24"/>
          <w:szCs w:val="24"/>
        </w:rPr>
      </w:pPr>
      <w:bookmarkStart w:id="42" w:name="_Hlk131793393"/>
      <w:r>
        <w:rPr>
          <w:rFonts w:hint="eastAsia" w:ascii="MS Gothic" w:hAnsi="MS Gothic" w:eastAsia="MS Gothic" w:cs="MS Gothic"/>
          <w:sz w:val="24"/>
          <w:szCs w:val="24"/>
        </w:rPr>
        <w:t>▶</w:t>
      </w:r>
      <w:r>
        <w:rPr>
          <w:rFonts w:hint="eastAsia" w:ascii="宋体" w:hAnsi="宋体" w:eastAsia="宋体" w:cs="Times New Roman"/>
          <w:sz w:val="24"/>
          <w:szCs w:val="24"/>
        </w:rPr>
        <w:t xml:space="preserve"> </w:t>
      </w:r>
      <w:bookmarkEnd w:id="42"/>
      <w:r>
        <w:rPr>
          <w:rFonts w:hint="eastAsia" w:ascii="宋体" w:hAnsi="宋体" w:eastAsia="宋体" w:cs="Times New Roman"/>
          <w:sz w:val="24"/>
          <w:szCs w:val="24"/>
        </w:rPr>
        <w:t>广播帧延迟测试。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w:t>
      </w:r>
      <w:r>
        <w:rPr>
          <w:rFonts w:hint="eastAsia" w:ascii="宋体" w:hAnsi="宋体" w:eastAsia="宋体" w:cs="Times New Roman"/>
          <w:sz w:val="24"/>
          <w:szCs w:val="24"/>
        </w:rPr>
        <w:t>3交换机功能测试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交换机功能测试遵循OPEN TC8 V3.0中的测试用例。测试内容包含但不限于：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VLAN测试；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地址学习测试；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端口过滤测试；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时间同步时间戳测试；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数据优先级测试；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交换机配置测试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一般功能测试（如启动时间、镜像、最大帧长等）。</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.4.4 </w:t>
      </w:r>
      <w:r>
        <w:rPr>
          <w:rFonts w:hint="eastAsia" w:ascii="宋体" w:hAnsi="宋体" w:eastAsia="宋体" w:cs="Times New Roman"/>
          <w:sz w:val="24"/>
          <w:szCs w:val="24"/>
        </w:rPr>
        <w:t>TCP/IP协议族测试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TCP/IP协议族测试满足OPEN TC8 V3.0标准，测试内容包含但不限于：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ARP</w:t>
      </w:r>
      <w:r>
        <w:rPr>
          <w:rFonts w:hint="eastAsia" w:ascii="宋体" w:hAnsi="宋体" w:eastAsia="宋体" w:cs="Times New Roman"/>
          <w:sz w:val="24"/>
          <w:szCs w:val="24"/>
        </w:rPr>
        <w:t>协议一致性测试；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ICMP</w:t>
      </w:r>
      <w:r>
        <w:rPr>
          <w:rFonts w:hint="eastAsia" w:ascii="宋体" w:hAnsi="宋体" w:eastAsia="宋体" w:cs="Times New Roman"/>
          <w:sz w:val="24"/>
          <w:szCs w:val="24"/>
        </w:rPr>
        <w:t>协议一致性测试；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IP</w:t>
      </w:r>
      <w:r>
        <w:rPr>
          <w:rFonts w:hint="eastAsia" w:ascii="宋体" w:hAnsi="宋体" w:eastAsia="宋体" w:cs="Times New Roman"/>
          <w:sz w:val="24"/>
          <w:szCs w:val="24"/>
        </w:rPr>
        <w:t>协议一致性测试；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TCP</w:t>
      </w:r>
      <w:r>
        <w:rPr>
          <w:rFonts w:hint="eastAsia" w:ascii="宋体" w:hAnsi="宋体" w:eastAsia="宋体" w:cs="Times New Roman"/>
          <w:sz w:val="24"/>
          <w:szCs w:val="24"/>
        </w:rPr>
        <w:t>协议一致性测试；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UDP</w:t>
      </w:r>
      <w:r>
        <w:rPr>
          <w:rFonts w:hint="eastAsia" w:ascii="宋体" w:hAnsi="宋体" w:eastAsia="宋体" w:cs="Times New Roman"/>
          <w:sz w:val="24"/>
          <w:szCs w:val="24"/>
        </w:rPr>
        <w:t>协议一致性测试；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DHCP</w:t>
      </w:r>
      <w:r>
        <w:rPr>
          <w:rFonts w:hint="eastAsia" w:ascii="宋体" w:hAnsi="宋体" w:eastAsia="宋体" w:cs="Times New Roman"/>
          <w:sz w:val="24"/>
          <w:szCs w:val="24"/>
        </w:rPr>
        <w:t>协议一致性测试。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.4.5 </w:t>
      </w:r>
      <w:r>
        <w:rPr>
          <w:rFonts w:hint="eastAsia" w:ascii="宋体" w:hAnsi="宋体" w:eastAsia="宋体" w:cs="Times New Roman"/>
          <w:sz w:val="24"/>
          <w:szCs w:val="24"/>
        </w:rPr>
        <w:t>SOME/IP测试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SOME/IP测试测试用例满足OPEN TC8 V3.0标准，测试内容包含：</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SOME/IP Server</w:t>
      </w:r>
      <w:r>
        <w:rPr>
          <w:rFonts w:hint="eastAsia" w:ascii="宋体" w:hAnsi="宋体" w:eastAsia="宋体" w:cs="Times New Roman"/>
          <w:sz w:val="24"/>
          <w:szCs w:val="24"/>
        </w:rPr>
        <w:t>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SOME/IP ETS</w:t>
      </w:r>
      <w:r>
        <w:rPr>
          <w:rFonts w:hint="eastAsia" w:ascii="宋体" w:hAnsi="宋体" w:eastAsia="宋体" w:cs="Times New Roman"/>
          <w:sz w:val="24"/>
          <w:szCs w:val="24"/>
        </w:rPr>
        <w:t>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.4.6</w:t>
      </w:r>
      <w:r>
        <w:rPr>
          <w:rFonts w:hint="eastAsia" w:ascii="宋体" w:hAnsi="宋体" w:eastAsia="宋体" w:cs="Times New Roman"/>
          <w:sz w:val="24"/>
          <w:szCs w:val="24"/>
        </w:rPr>
        <w:t>单部件基础通信测试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投标方基于既往项目经验，提供一份覆盖全面的以太网基础通信性能测试规范，其中测试用例条目数量应当不小于40条，测试内容包括但不限于：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物理层测试，包括但不限于：高低压通信范围测试、</w:t>
      </w:r>
      <w:r>
        <w:rPr>
          <w:rFonts w:ascii="宋体" w:hAnsi="宋体" w:eastAsia="宋体" w:cs="Times New Roman"/>
          <w:sz w:val="24"/>
          <w:szCs w:val="24"/>
        </w:rPr>
        <w:t>Master配置测试</w:t>
      </w:r>
      <w:r>
        <w:rPr>
          <w:rFonts w:hint="eastAsia" w:ascii="宋体" w:hAnsi="宋体" w:eastAsia="宋体" w:cs="Times New Roman"/>
          <w:sz w:val="24"/>
          <w:szCs w:val="24"/>
        </w:rPr>
        <w:t>、</w:t>
      </w:r>
      <w:r>
        <w:rPr>
          <w:rFonts w:ascii="宋体" w:hAnsi="宋体" w:eastAsia="宋体" w:cs="Times New Roman"/>
          <w:sz w:val="24"/>
          <w:szCs w:val="24"/>
        </w:rPr>
        <w:t>Slave配置测试</w:t>
      </w:r>
      <w:r>
        <w:rPr>
          <w:rFonts w:hint="eastAsia" w:ascii="宋体" w:hAnsi="宋体" w:eastAsia="宋体" w:cs="Times New Roman"/>
          <w:sz w:val="24"/>
          <w:szCs w:val="24"/>
        </w:rPr>
        <w:t>、上电过程不出现</w:t>
      </w:r>
      <w:r>
        <w:rPr>
          <w:rFonts w:ascii="宋体" w:hAnsi="宋体" w:eastAsia="宋体" w:cs="Times New Roman"/>
          <w:sz w:val="24"/>
          <w:szCs w:val="24"/>
        </w:rPr>
        <w:t>Link Down</w:t>
      </w:r>
      <w:r>
        <w:rPr>
          <w:rFonts w:hint="eastAsia" w:ascii="宋体" w:hAnsi="宋体" w:eastAsia="宋体" w:cs="Times New Roman"/>
          <w:sz w:val="24"/>
          <w:szCs w:val="24"/>
        </w:rPr>
        <w:t>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数据链路层测试，包含但不限于：数据库定义以太网类型测试、</w:t>
      </w:r>
      <w:r>
        <w:rPr>
          <w:rFonts w:ascii="宋体" w:hAnsi="宋体" w:eastAsia="宋体" w:cs="Times New Roman"/>
          <w:sz w:val="24"/>
          <w:szCs w:val="24"/>
        </w:rPr>
        <w:t>数据库定义源MAC地址测试</w:t>
      </w:r>
      <w:r>
        <w:rPr>
          <w:rFonts w:hint="eastAsia" w:ascii="宋体" w:hAnsi="宋体" w:eastAsia="宋体" w:cs="Times New Roman"/>
          <w:sz w:val="24"/>
          <w:szCs w:val="24"/>
        </w:rPr>
        <w:t>、数据库定义目的</w:t>
      </w:r>
      <w:r>
        <w:rPr>
          <w:rFonts w:ascii="宋体" w:hAnsi="宋体" w:eastAsia="宋体" w:cs="Times New Roman"/>
          <w:sz w:val="24"/>
          <w:szCs w:val="24"/>
        </w:rPr>
        <w:t>MAC地址测试</w:t>
      </w:r>
      <w:r>
        <w:rPr>
          <w:rFonts w:hint="eastAsia" w:ascii="宋体" w:hAnsi="宋体" w:eastAsia="宋体" w:cs="Times New Roman"/>
          <w:sz w:val="24"/>
          <w:szCs w:val="24"/>
        </w:rPr>
        <w:t>、数据库定义目的</w:t>
      </w:r>
      <w:r>
        <w:rPr>
          <w:rFonts w:ascii="宋体" w:hAnsi="宋体" w:eastAsia="宋体" w:cs="Times New Roman"/>
          <w:sz w:val="24"/>
          <w:szCs w:val="24"/>
        </w:rPr>
        <w:t>MAC地址测试</w:t>
      </w:r>
      <w:r>
        <w:rPr>
          <w:rFonts w:hint="eastAsia" w:ascii="宋体" w:hAnsi="宋体" w:eastAsia="宋体" w:cs="Times New Roman"/>
          <w:sz w:val="24"/>
          <w:szCs w:val="24"/>
        </w:rPr>
        <w:t>、数据库定义</w:t>
      </w:r>
      <w:r>
        <w:rPr>
          <w:rFonts w:ascii="宋体" w:hAnsi="宋体" w:eastAsia="宋体" w:cs="Times New Roman"/>
          <w:sz w:val="24"/>
          <w:szCs w:val="24"/>
        </w:rPr>
        <w:t>VLAN ID测试</w:t>
      </w:r>
      <w:r>
        <w:rPr>
          <w:rFonts w:hint="eastAsia" w:ascii="宋体" w:hAnsi="宋体" w:eastAsia="宋体" w:cs="Times New Roman"/>
          <w:sz w:val="24"/>
          <w:szCs w:val="24"/>
        </w:rPr>
        <w:t>、上电无</w:t>
      </w:r>
      <w:r>
        <w:rPr>
          <w:rFonts w:ascii="宋体" w:hAnsi="宋体" w:eastAsia="宋体" w:cs="Times New Roman"/>
          <w:sz w:val="24"/>
          <w:szCs w:val="24"/>
        </w:rPr>
        <w:t>ARP报文测试</w:t>
      </w:r>
      <w:r>
        <w:rPr>
          <w:rFonts w:hint="eastAsia" w:ascii="宋体" w:hAnsi="宋体" w:eastAsia="宋体" w:cs="Times New Roman"/>
          <w:sz w:val="24"/>
          <w:szCs w:val="24"/>
        </w:rPr>
        <w:t>、上电</w:t>
      </w:r>
      <w:r>
        <w:rPr>
          <w:rFonts w:ascii="宋体" w:hAnsi="宋体" w:eastAsia="宋体" w:cs="Times New Roman"/>
          <w:sz w:val="24"/>
          <w:szCs w:val="24"/>
        </w:rPr>
        <w:t>ARP缓存表验证测试</w:t>
      </w:r>
      <w:r>
        <w:rPr>
          <w:rFonts w:hint="eastAsia" w:ascii="宋体" w:hAnsi="宋体" w:eastAsia="宋体" w:cs="Times New Roman"/>
          <w:sz w:val="24"/>
          <w:szCs w:val="24"/>
        </w:rPr>
        <w:t>、</w:t>
      </w:r>
      <w:r>
        <w:rPr>
          <w:rFonts w:ascii="宋体" w:hAnsi="宋体" w:eastAsia="宋体" w:cs="Times New Roman"/>
          <w:sz w:val="24"/>
          <w:szCs w:val="24"/>
        </w:rPr>
        <w:t>VLAN标签PCP字段测试</w:t>
      </w:r>
      <w:r>
        <w:rPr>
          <w:rFonts w:hint="eastAsia" w:ascii="宋体" w:hAnsi="宋体" w:eastAsia="宋体" w:cs="Times New Roman"/>
          <w:sz w:val="24"/>
          <w:szCs w:val="24"/>
        </w:rPr>
        <w:t>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网络层测试，包含但不限于：</w:t>
      </w:r>
      <w:r>
        <w:rPr>
          <w:rFonts w:ascii="宋体" w:hAnsi="宋体" w:eastAsia="宋体" w:cs="Times New Roman"/>
          <w:sz w:val="24"/>
          <w:szCs w:val="24"/>
        </w:rPr>
        <w:t>IP版本测试</w:t>
      </w:r>
      <w:r>
        <w:rPr>
          <w:rFonts w:hint="eastAsia" w:ascii="宋体" w:hAnsi="宋体" w:eastAsia="宋体" w:cs="Times New Roman"/>
          <w:sz w:val="24"/>
          <w:szCs w:val="24"/>
        </w:rPr>
        <w:t>、数据库定义源</w:t>
      </w:r>
      <w:r>
        <w:rPr>
          <w:rFonts w:ascii="宋体" w:hAnsi="宋体" w:eastAsia="宋体" w:cs="Times New Roman"/>
          <w:sz w:val="24"/>
          <w:szCs w:val="24"/>
        </w:rPr>
        <w:t>IP地址测试</w:t>
      </w:r>
      <w:r>
        <w:rPr>
          <w:rFonts w:hint="eastAsia" w:ascii="宋体" w:hAnsi="宋体" w:eastAsia="宋体" w:cs="Times New Roman"/>
          <w:sz w:val="24"/>
          <w:szCs w:val="24"/>
        </w:rPr>
        <w:t>、数据库定义目的</w:t>
      </w:r>
      <w:r>
        <w:rPr>
          <w:rFonts w:ascii="宋体" w:hAnsi="宋体" w:eastAsia="宋体" w:cs="Times New Roman"/>
          <w:sz w:val="24"/>
          <w:szCs w:val="24"/>
        </w:rPr>
        <w:t>IP地址测试</w:t>
      </w:r>
      <w:r>
        <w:rPr>
          <w:rFonts w:hint="eastAsia" w:ascii="宋体" w:hAnsi="宋体" w:eastAsia="宋体" w:cs="Times New Roman"/>
          <w:sz w:val="24"/>
          <w:szCs w:val="24"/>
        </w:rPr>
        <w:t>、数据库定义</w:t>
      </w:r>
      <w:r>
        <w:rPr>
          <w:rFonts w:ascii="宋体" w:hAnsi="宋体" w:eastAsia="宋体" w:cs="Times New Roman"/>
          <w:sz w:val="24"/>
          <w:szCs w:val="24"/>
        </w:rPr>
        <w:t>TTL字段配置测试</w:t>
      </w:r>
      <w:r>
        <w:rPr>
          <w:rFonts w:hint="eastAsia" w:ascii="宋体" w:hAnsi="宋体" w:eastAsia="宋体" w:cs="Times New Roman"/>
          <w:sz w:val="24"/>
          <w:szCs w:val="24"/>
        </w:rPr>
        <w:t>、数据库定义</w:t>
      </w:r>
      <w:r>
        <w:rPr>
          <w:rFonts w:ascii="宋体" w:hAnsi="宋体" w:eastAsia="宋体" w:cs="Times New Roman"/>
          <w:sz w:val="24"/>
          <w:szCs w:val="24"/>
        </w:rPr>
        <w:t>ToS字段配置测试</w:t>
      </w:r>
      <w:r>
        <w:rPr>
          <w:rFonts w:hint="eastAsia" w:ascii="宋体" w:hAnsi="宋体" w:eastAsia="宋体" w:cs="Times New Roman"/>
          <w:sz w:val="24"/>
          <w:szCs w:val="24"/>
        </w:rPr>
        <w:t>、</w:t>
      </w:r>
      <w:r>
        <w:rPr>
          <w:rFonts w:ascii="宋体" w:hAnsi="宋体" w:eastAsia="宋体" w:cs="Times New Roman"/>
          <w:sz w:val="24"/>
          <w:szCs w:val="24"/>
        </w:rPr>
        <w:t>IP分片配置测试</w:t>
      </w:r>
      <w:r>
        <w:rPr>
          <w:rFonts w:hint="eastAsia" w:ascii="宋体" w:hAnsi="宋体" w:eastAsia="宋体" w:cs="Times New Roman"/>
          <w:sz w:val="24"/>
          <w:szCs w:val="24"/>
        </w:rPr>
        <w:t>、</w:t>
      </w:r>
      <w:r>
        <w:rPr>
          <w:rFonts w:ascii="宋体" w:hAnsi="宋体" w:eastAsia="宋体" w:cs="Times New Roman"/>
          <w:sz w:val="24"/>
          <w:szCs w:val="24"/>
        </w:rPr>
        <w:t>IP Option测试</w:t>
      </w:r>
      <w:r>
        <w:rPr>
          <w:rFonts w:hint="eastAsia" w:ascii="宋体" w:hAnsi="宋体" w:eastAsia="宋体" w:cs="Times New Roman"/>
          <w:sz w:val="24"/>
          <w:szCs w:val="24"/>
        </w:rPr>
        <w:t>、</w:t>
      </w:r>
      <w:r>
        <w:rPr>
          <w:rFonts w:ascii="宋体" w:hAnsi="宋体" w:eastAsia="宋体" w:cs="Times New Roman"/>
          <w:sz w:val="24"/>
          <w:szCs w:val="24"/>
        </w:rPr>
        <w:t>IGMP报文测试</w:t>
      </w:r>
      <w:r>
        <w:rPr>
          <w:rFonts w:hint="eastAsia" w:ascii="宋体" w:hAnsi="宋体" w:eastAsia="宋体" w:cs="Times New Roman"/>
          <w:sz w:val="24"/>
          <w:szCs w:val="24"/>
        </w:rPr>
        <w:t>、</w:t>
      </w:r>
      <w:r>
        <w:rPr>
          <w:rFonts w:ascii="宋体" w:hAnsi="宋体" w:eastAsia="宋体" w:cs="Times New Roman"/>
          <w:sz w:val="24"/>
          <w:szCs w:val="24"/>
        </w:rPr>
        <w:t>ICMPv4端口不可达报文测试</w:t>
      </w:r>
      <w:r>
        <w:rPr>
          <w:rFonts w:hint="eastAsia" w:ascii="宋体" w:hAnsi="宋体" w:eastAsia="宋体" w:cs="Times New Roman"/>
          <w:sz w:val="24"/>
          <w:szCs w:val="24"/>
        </w:rPr>
        <w:t>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传输层基本测试，包括但不限于：数据库</w:t>
      </w:r>
      <w:r>
        <w:rPr>
          <w:rFonts w:ascii="宋体" w:hAnsi="宋体" w:eastAsia="宋体" w:cs="Times New Roman"/>
          <w:sz w:val="24"/>
          <w:szCs w:val="24"/>
        </w:rPr>
        <w:t>UDP源端口测试</w:t>
      </w:r>
      <w:r>
        <w:rPr>
          <w:rFonts w:hint="eastAsia" w:ascii="宋体" w:hAnsi="宋体" w:eastAsia="宋体" w:cs="Times New Roman"/>
          <w:sz w:val="24"/>
          <w:szCs w:val="24"/>
        </w:rPr>
        <w:t>、数据库</w:t>
      </w:r>
      <w:r>
        <w:rPr>
          <w:rFonts w:ascii="宋体" w:hAnsi="宋体" w:eastAsia="宋体" w:cs="Times New Roman"/>
          <w:sz w:val="24"/>
          <w:szCs w:val="24"/>
        </w:rPr>
        <w:t>UDP目的端口测试</w:t>
      </w:r>
      <w:r>
        <w:rPr>
          <w:rFonts w:hint="eastAsia" w:ascii="宋体" w:hAnsi="宋体" w:eastAsia="宋体" w:cs="Times New Roman"/>
          <w:sz w:val="24"/>
          <w:szCs w:val="24"/>
        </w:rPr>
        <w:t>、</w:t>
      </w:r>
      <w:r>
        <w:rPr>
          <w:rFonts w:ascii="宋体" w:hAnsi="宋体" w:eastAsia="宋体" w:cs="Times New Roman"/>
          <w:sz w:val="24"/>
          <w:szCs w:val="24"/>
        </w:rPr>
        <w:t>UDP使能checksum测试</w:t>
      </w:r>
      <w:r>
        <w:rPr>
          <w:rFonts w:hint="eastAsia" w:ascii="宋体" w:hAnsi="宋体" w:eastAsia="宋体" w:cs="Times New Roman"/>
          <w:sz w:val="24"/>
          <w:szCs w:val="24"/>
        </w:rPr>
        <w:t>、</w:t>
      </w:r>
      <w:r>
        <w:rPr>
          <w:rFonts w:ascii="宋体" w:hAnsi="宋体" w:eastAsia="宋体" w:cs="Times New Roman"/>
          <w:sz w:val="24"/>
          <w:szCs w:val="24"/>
        </w:rPr>
        <w:t>TCP的MSS值测试</w:t>
      </w:r>
      <w:r>
        <w:rPr>
          <w:rFonts w:hint="eastAsia" w:ascii="宋体" w:hAnsi="宋体" w:eastAsia="宋体" w:cs="Times New Roman"/>
          <w:sz w:val="24"/>
          <w:szCs w:val="24"/>
        </w:rPr>
        <w:t>、</w:t>
      </w:r>
      <w:r>
        <w:rPr>
          <w:rFonts w:ascii="宋体" w:hAnsi="宋体" w:eastAsia="宋体" w:cs="Times New Roman"/>
          <w:sz w:val="24"/>
          <w:szCs w:val="24"/>
        </w:rPr>
        <w:t>TCP窗口大小测试</w:t>
      </w:r>
      <w:r>
        <w:rPr>
          <w:rFonts w:hint="eastAsia" w:ascii="宋体" w:hAnsi="宋体" w:eastAsia="宋体" w:cs="Times New Roman"/>
          <w:sz w:val="24"/>
          <w:szCs w:val="24"/>
        </w:rPr>
        <w:t>、进入休眠时</w:t>
      </w:r>
      <w:r>
        <w:rPr>
          <w:rFonts w:ascii="宋体" w:hAnsi="宋体" w:eastAsia="宋体" w:cs="Times New Roman"/>
          <w:sz w:val="24"/>
          <w:szCs w:val="24"/>
        </w:rPr>
        <w:t>TCP连接状态测试</w:t>
      </w:r>
      <w:r>
        <w:rPr>
          <w:rFonts w:hint="eastAsia" w:ascii="宋体" w:hAnsi="宋体" w:eastAsia="宋体" w:cs="Times New Roman"/>
          <w:sz w:val="24"/>
          <w:szCs w:val="24"/>
        </w:rPr>
        <w:t>等；</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SOME/IP测试</w:t>
      </w:r>
      <w:r>
        <w:rPr>
          <w:rFonts w:hint="eastAsia" w:ascii="宋体" w:hAnsi="宋体" w:eastAsia="宋体" w:cs="Times New Roman"/>
          <w:sz w:val="24"/>
          <w:szCs w:val="24"/>
        </w:rPr>
        <w:t>，包含但不限于：快传阶段初始延迟时间（</w:t>
      </w:r>
      <w:r>
        <w:rPr>
          <w:rFonts w:ascii="宋体" w:hAnsi="宋体" w:eastAsia="宋体" w:cs="Times New Roman"/>
          <w:sz w:val="24"/>
          <w:szCs w:val="24"/>
        </w:rPr>
        <w:t>REPETITIONS_BASE_DELAY）测试</w:t>
      </w:r>
      <w:r>
        <w:rPr>
          <w:rFonts w:hint="eastAsia" w:ascii="宋体" w:hAnsi="宋体" w:eastAsia="宋体" w:cs="Times New Roman"/>
          <w:sz w:val="24"/>
          <w:szCs w:val="24"/>
        </w:rPr>
        <w:t>、最大快传次数（</w:t>
      </w:r>
      <w:r>
        <w:rPr>
          <w:rFonts w:ascii="宋体" w:hAnsi="宋体" w:eastAsia="宋体" w:cs="Times New Roman"/>
          <w:sz w:val="24"/>
          <w:szCs w:val="24"/>
        </w:rPr>
        <w:t>REPETITIONS_MAX）测试</w:t>
      </w:r>
      <w:r>
        <w:rPr>
          <w:rFonts w:hint="eastAsia" w:ascii="宋体" w:hAnsi="宋体" w:eastAsia="宋体" w:cs="Times New Roman"/>
          <w:sz w:val="24"/>
          <w:szCs w:val="24"/>
        </w:rPr>
        <w:t>、周期时间（</w:t>
      </w:r>
      <w:r>
        <w:rPr>
          <w:rFonts w:ascii="宋体" w:hAnsi="宋体" w:eastAsia="宋体" w:cs="Times New Roman"/>
          <w:sz w:val="24"/>
          <w:szCs w:val="24"/>
        </w:rPr>
        <w:t>CYCLIC_OFFER_DELAY）测试</w:t>
      </w:r>
      <w:r>
        <w:rPr>
          <w:rFonts w:hint="eastAsia" w:ascii="宋体" w:hAnsi="宋体" w:eastAsia="宋体" w:cs="Times New Roman"/>
          <w:sz w:val="24"/>
          <w:szCs w:val="24"/>
        </w:rPr>
        <w:t>、休眠前停止提供服务报文（</w:t>
      </w:r>
      <w:r>
        <w:rPr>
          <w:rFonts w:ascii="宋体" w:hAnsi="宋体" w:eastAsia="宋体" w:cs="Times New Roman"/>
          <w:sz w:val="24"/>
          <w:szCs w:val="24"/>
        </w:rPr>
        <w:t>Stop Offer Service）检验</w:t>
      </w:r>
      <w:r>
        <w:rPr>
          <w:rFonts w:hint="eastAsia" w:ascii="宋体" w:hAnsi="宋体" w:eastAsia="宋体" w:cs="Times New Roman"/>
          <w:sz w:val="24"/>
          <w:szCs w:val="24"/>
        </w:rPr>
        <w:t>、查找服务报文（</w:t>
      </w:r>
      <w:r>
        <w:rPr>
          <w:rFonts w:ascii="宋体" w:hAnsi="宋体" w:eastAsia="宋体" w:cs="Times New Roman"/>
          <w:sz w:val="24"/>
          <w:szCs w:val="24"/>
        </w:rPr>
        <w:t>Find Service）次数测试</w:t>
      </w:r>
      <w:r>
        <w:rPr>
          <w:rFonts w:hint="eastAsia" w:ascii="宋体" w:hAnsi="宋体" w:eastAsia="宋体" w:cs="Times New Roman"/>
          <w:sz w:val="24"/>
          <w:szCs w:val="24"/>
        </w:rPr>
        <w:t>等。</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.4.7 </w:t>
      </w:r>
      <w:r>
        <w:rPr>
          <w:rFonts w:hint="eastAsia" w:ascii="宋体" w:hAnsi="宋体" w:eastAsia="宋体" w:cs="Times New Roman"/>
          <w:sz w:val="24"/>
          <w:szCs w:val="24"/>
        </w:rPr>
        <w:t>DoIP测试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投标方应根据既往项目经验，提供一份覆盖全面的测试规范，测试用例条目不少于70条，测试内容包括但不限于：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报文封装；</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DoIP否定响应测试；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DoIP车辆信息响应测试；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DoIP路由激活测试；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DoIP在线检测测试；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DoIP诊断电源模式测试；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DoIP诊断报文测试；</w:t>
      </w:r>
    </w:p>
    <w:p>
      <w:pPr>
        <w:spacing w:line="420" w:lineRule="exact"/>
        <w:ind w:firstLine="480" w:firstLineChars="200"/>
        <w:rPr>
          <w:rFonts w:ascii="宋体" w:hAnsi="宋体" w:eastAsia="宋体" w:cs="Times New Roman"/>
          <w:sz w:val="24"/>
          <w:szCs w:val="24"/>
        </w:rPr>
      </w:pPr>
      <w:bookmarkStart w:id="43" w:name="_Hlk131795050"/>
      <w:r>
        <w:rPr>
          <w:rFonts w:hint="eastAsia" w:ascii="MS Gothic" w:hAnsi="MS Gothic" w:eastAsia="MS Gothic" w:cs="MS Gothic"/>
          <w:sz w:val="24"/>
          <w:szCs w:val="24"/>
        </w:rPr>
        <w:t>▶</w:t>
      </w:r>
      <w:r>
        <w:rPr>
          <w:rFonts w:hint="eastAsia" w:ascii="宋体" w:hAnsi="宋体" w:eastAsia="宋体" w:cs="Times New Roman"/>
          <w:sz w:val="24"/>
          <w:szCs w:val="24"/>
        </w:rPr>
        <w:t xml:space="preserve"> </w:t>
      </w:r>
      <w:bookmarkEnd w:id="43"/>
      <w:r>
        <w:rPr>
          <w:rFonts w:hint="eastAsia" w:ascii="宋体" w:hAnsi="宋体" w:eastAsia="宋体" w:cs="Times New Roman"/>
          <w:sz w:val="24"/>
          <w:szCs w:val="24"/>
        </w:rPr>
        <w:t>时间参数测试。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.4.8</w:t>
      </w:r>
      <w:r>
        <w:rPr>
          <w:rFonts w:hint="eastAsia" w:ascii="宋体" w:hAnsi="宋体" w:eastAsia="宋体" w:cs="Times New Roman"/>
          <w:sz w:val="24"/>
          <w:szCs w:val="24"/>
        </w:rPr>
        <w:t>刷写测试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投标方基于既往项目经验，提供一份刷写测试规范，开发测试用例，测试用例条目不少于</w:t>
      </w:r>
      <w:r>
        <w:rPr>
          <w:rFonts w:ascii="宋体" w:hAnsi="宋体" w:eastAsia="宋体" w:cs="Times New Roman"/>
          <w:sz w:val="24"/>
          <w:szCs w:val="24"/>
        </w:rPr>
        <w:t>4</w:t>
      </w:r>
      <w:r>
        <w:rPr>
          <w:rFonts w:hint="eastAsia" w:ascii="宋体" w:hAnsi="宋体" w:eastAsia="宋体" w:cs="Times New Roman"/>
          <w:sz w:val="24"/>
          <w:szCs w:val="24"/>
        </w:rPr>
        <w:t>0条，并提供测试样件及测试环境验证测试脚本。测试内容包括但不限于：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刷写有效测试；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跳过刷写步骤或刷写顺序错误测试；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Checksum校验出错测试；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异常断电（KL15电或KL30电）、异常电压下重编程测试。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.4.9 </w:t>
      </w:r>
      <w:r>
        <w:rPr>
          <w:rFonts w:hint="eastAsia" w:ascii="宋体" w:hAnsi="宋体" w:eastAsia="宋体" w:cs="Times New Roman"/>
          <w:sz w:val="24"/>
          <w:szCs w:val="24"/>
        </w:rPr>
        <w:t>UDS测试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投标方应根据既往项目经验，提供一份覆盖全面的测试规范，开发测试用例，测试用例条目不少于</w:t>
      </w:r>
      <w:r>
        <w:rPr>
          <w:rFonts w:ascii="宋体" w:hAnsi="宋体" w:eastAsia="宋体" w:cs="Times New Roman"/>
          <w:sz w:val="24"/>
          <w:szCs w:val="24"/>
        </w:rPr>
        <w:t>7</w:t>
      </w:r>
      <w:r>
        <w:rPr>
          <w:rFonts w:hint="eastAsia" w:ascii="宋体" w:hAnsi="宋体" w:eastAsia="宋体" w:cs="Times New Roman"/>
          <w:sz w:val="24"/>
          <w:szCs w:val="24"/>
        </w:rPr>
        <w:t>0条，测试内容包括但不限于：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诊断请求报文格式；</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诊断协议定时；</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诊断数据内容；</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诊断应用测试；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会话模式和安全状态；</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诊断服务遍历测试；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功能寻址测试。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.4.10</w:t>
      </w:r>
      <w:r>
        <w:rPr>
          <w:rFonts w:hint="eastAsia" w:ascii="宋体" w:hAnsi="宋体" w:eastAsia="宋体" w:cs="Times New Roman"/>
          <w:sz w:val="24"/>
          <w:szCs w:val="24"/>
        </w:rPr>
        <w:t>路由测试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投标方基于既往项目经验，提供一份路由测试规范，开发测试用例，并提供测试样件及测试环境验证测试脚本。测试内容包括但不限于：</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）数据路由：</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报文路由测试；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信号路由测试；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路由时间测试；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网关路由过滤测试；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路由负载率测试；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路由周期抖动测试；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路由时序测试。</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）诊断路由：</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诊断优先级测试；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诊断状态锁定测试；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诊断状态报文测试；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物理寻址DoIP-DoIP/DoCAN-DoCAN诊断报文交互测试；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物理寻址DoIP-DoCAN/DoCAN-DoIP诊断单帧/多帧报文交互测试；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物理寻址DoIP-DoCAN多帧诊断及诊断响应网关功能测试；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功能寻址DoIP/CAN诊断请求报文交互测试；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网关DoIP-Client测试；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时间参数测试。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.4.11 </w:t>
      </w:r>
      <w:r>
        <w:rPr>
          <w:rFonts w:hint="eastAsia" w:ascii="宋体" w:hAnsi="宋体" w:eastAsia="宋体" w:cs="Times New Roman"/>
          <w:sz w:val="24"/>
          <w:szCs w:val="24"/>
        </w:rPr>
        <w:t>UDPNM网络管理测试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投标方基于既往项目经验，提供一份覆盖全面的测试规范，测试用例条目不少于</w:t>
      </w:r>
      <w:r>
        <w:rPr>
          <w:rFonts w:ascii="宋体" w:hAnsi="宋体" w:eastAsia="宋体" w:cs="Times New Roman"/>
          <w:sz w:val="24"/>
          <w:szCs w:val="24"/>
        </w:rPr>
        <w:t>30</w:t>
      </w:r>
      <w:r>
        <w:rPr>
          <w:rFonts w:hint="eastAsia" w:ascii="宋体" w:hAnsi="宋体" w:eastAsia="宋体" w:cs="Times New Roman"/>
          <w:sz w:val="24"/>
          <w:szCs w:val="24"/>
        </w:rPr>
        <w:t>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UDPNM报文格式测试：源标识测试、未使用的用户字节测试、未使用的控制位测试、网络管理源节点有效标识范围测试、网络管理源IP检测、时间参数测试；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状态转换测试：BSM（Bus-Sleep Mode）、PBM（Prepare Bus-Sleep Mode）、RMS（Repeat Message State）、NOS（Normal Operation State）、RSS（Ready Sleep State）状态之间的休眠唤醒状态机转换及报文发送测试。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.4.12 </w:t>
      </w:r>
      <w:r>
        <w:rPr>
          <w:rFonts w:hint="eastAsia" w:ascii="宋体" w:hAnsi="宋体" w:eastAsia="宋体" w:cs="Times New Roman"/>
          <w:sz w:val="24"/>
          <w:szCs w:val="24"/>
        </w:rPr>
        <w:t>AVB测试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投标方基于既往项目经验提供一份覆盖全面的AVB测试规范及测试脚本，测试用例条目不少于</w:t>
      </w:r>
      <w:r>
        <w:rPr>
          <w:rFonts w:ascii="宋体" w:hAnsi="宋体" w:eastAsia="宋体" w:cs="Times New Roman"/>
          <w:sz w:val="24"/>
          <w:szCs w:val="24"/>
        </w:rPr>
        <w:t>40</w:t>
      </w:r>
      <w:r>
        <w:rPr>
          <w:rFonts w:hint="eastAsia" w:ascii="宋体" w:hAnsi="宋体" w:eastAsia="宋体" w:cs="Times New Roman"/>
          <w:sz w:val="24"/>
          <w:szCs w:val="24"/>
        </w:rPr>
        <w:t>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IEEE 802.1AS</w:t>
      </w:r>
      <w:r>
        <w:rPr>
          <w:rFonts w:hint="eastAsia" w:ascii="宋体" w:hAnsi="宋体" w:eastAsia="宋体" w:cs="Times New Roman"/>
          <w:sz w:val="24"/>
          <w:szCs w:val="24"/>
        </w:rPr>
        <w:t>协议一致性测试及配置测试；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IEEE 1722</w:t>
      </w:r>
      <w:r>
        <w:rPr>
          <w:rFonts w:hint="eastAsia" w:ascii="宋体" w:hAnsi="宋体" w:eastAsia="宋体" w:cs="Times New Roman"/>
          <w:sz w:val="24"/>
          <w:szCs w:val="24"/>
        </w:rPr>
        <w:t>协议一致性测试及配置测试；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r>
        <w:rPr>
          <w:rFonts w:ascii="宋体" w:hAnsi="宋体" w:eastAsia="宋体" w:cs="Times New Roman"/>
          <w:sz w:val="24"/>
          <w:szCs w:val="24"/>
        </w:rPr>
        <w:t>IEEE 802.1 Qav</w:t>
      </w:r>
      <w:r>
        <w:rPr>
          <w:rFonts w:hint="eastAsia" w:ascii="宋体" w:hAnsi="宋体" w:eastAsia="宋体" w:cs="Times New Roman"/>
          <w:sz w:val="24"/>
          <w:szCs w:val="24"/>
        </w:rPr>
        <w:t>协议一致性测试及配置测试。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 xml:space="preserve">.4.13 </w:t>
      </w:r>
      <w:r>
        <w:rPr>
          <w:rFonts w:hint="eastAsia" w:ascii="宋体" w:hAnsi="宋体" w:eastAsia="宋体" w:cs="Times New Roman"/>
          <w:sz w:val="24"/>
          <w:szCs w:val="24"/>
        </w:rPr>
        <w:t>TSN协议一致性测试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投标方基于既往项目经验提供一份全面的TSN测试规范，测试用例条目不少于</w:t>
      </w:r>
      <w:r>
        <w:rPr>
          <w:rFonts w:ascii="宋体" w:hAnsi="宋体" w:eastAsia="宋体" w:cs="Times New Roman"/>
          <w:sz w:val="24"/>
          <w:szCs w:val="24"/>
        </w:rPr>
        <w:t>70</w:t>
      </w:r>
      <w:r>
        <w:rPr>
          <w:rFonts w:hint="eastAsia" w:ascii="宋体" w:hAnsi="宋体" w:eastAsia="宋体" w:cs="Times New Roman"/>
          <w:sz w:val="24"/>
          <w:szCs w:val="24"/>
        </w:rPr>
        <w:t>条，测试内容包括但不限于：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w:t>
      </w:r>
      <w:bookmarkStart w:id="44" w:name="_Hlk131960545"/>
      <w:r>
        <w:rPr>
          <w:rFonts w:hint="eastAsia" w:ascii="宋体" w:hAnsi="宋体" w:eastAsia="宋体" w:cs="Times New Roman"/>
          <w:sz w:val="24"/>
          <w:szCs w:val="24"/>
        </w:rPr>
        <w:t>IEEE 802.1Qbv协议一致性测试及配置测试；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IEEE 802.1Qci协议一致性测试及配置测试；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IEEE 802.1CB协</w:t>
      </w:r>
      <w:bookmarkEnd w:id="44"/>
      <w:r>
        <w:rPr>
          <w:rFonts w:hint="eastAsia" w:ascii="宋体" w:hAnsi="宋体" w:eastAsia="宋体" w:cs="Times New Roman"/>
          <w:sz w:val="24"/>
          <w:szCs w:val="24"/>
        </w:rPr>
        <w:t>议一致性测试及配置测试。</w:t>
      </w:r>
    </w:p>
    <w:p>
      <w:pPr>
        <w:keepNext/>
        <w:keepLines/>
        <w:spacing w:line="376" w:lineRule="auto"/>
        <w:outlineLvl w:val="5"/>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.4.14</w:t>
      </w:r>
      <w:r>
        <w:rPr>
          <w:rFonts w:hint="eastAsia" w:ascii="宋体" w:hAnsi="宋体" w:eastAsia="宋体" w:cs="Times New Roman"/>
          <w:sz w:val="24"/>
          <w:szCs w:val="24"/>
        </w:rPr>
        <w:t>台架系统测试</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投标方基于既往项目经验，提供一份覆盖全面的测试规范，测试用例条目不少于</w:t>
      </w:r>
      <w:r>
        <w:rPr>
          <w:rFonts w:ascii="宋体" w:hAnsi="宋体" w:eastAsia="宋体" w:cs="Times New Roman"/>
          <w:sz w:val="24"/>
          <w:szCs w:val="24"/>
        </w:rPr>
        <w:t>50</w:t>
      </w:r>
      <w:r>
        <w:rPr>
          <w:rFonts w:hint="eastAsia" w:ascii="宋体" w:hAnsi="宋体" w:eastAsia="宋体" w:cs="Times New Roman"/>
          <w:sz w:val="24"/>
          <w:szCs w:val="24"/>
        </w:rPr>
        <w:t>条，测试用例包括但不限于：</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基本通信配置测试；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SOMEIP配置测试；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AVB系统测试；</w:t>
      </w:r>
    </w:p>
    <w:p>
      <w:pPr>
        <w:spacing w:line="420" w:lineRule="exact"/>
        <w:ind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宋体" w:hAnsi="宋体" w:eastAsia="宋体" w:cs="Times New Roman"/>
          <w:sz w:val="24"/>
          <w:szCs w:val="24"/>
        </w:rPr>
        <w:t xml:space="preserve"> TSN系统测试。</w:t>
      </w:r>
    </w:p>
    <w:bookmarkEnd w:id="41"/>
    <w:p>
      <w:pPr>
        <w:keepNext/>
        <w:keepLines/>
        <w:spacing w:line="376" w:lineRule="auto"/>
        <w:outlineLvl w:val="4"/>
        <w:rPr>
          <w:rFonts w:ascii="宋体" w:hAnsi="宋体" w:eastAsia="宋体" w:cs="Times New Roman"/>
          <w:sz w:val="24"/>
          <w:szCs w:val="24"/>
        </w:rPr>
      </w:pPr>
      <w:r>
        <w:rPr>
          <w:rFonts w:ascii="宋体" w:hAnsi="宋体" w:eastAsia="宋体" w:cs="Times New Roman"/>
          <w:sz w:val="24"/>
          <w:szCs w:val="24"/>
        </w:rPr>
        <w:t>2.5</w:t>
      </w:r>
      <w:r>
        <w:rPr>
          <w:rFonts w:hint="eastAsia" w:ascii="宋体" w:hAnsi="宋体" w:eastAsia="宋体" w:cs="Times New Roman"/>
          <w:sz w:val="24"/>
          <w:szCs w:val="24"/>
        </w:rPr>
        <w:t>测试脚本要求</w:t>
      </w:r>
    </w:p>
    <w:p>
      <w:pPr>
        <w:spacing w:line="420" w:lineRule="exact"/>
        <w:ind w:firstLine="480" w:firstLineChars="200"/>
        <w:rPr>
          <w:rFonts w:ascii="Times New Roman" w:hAnsi="Times New Roman" w:eastAsia="宋体" w:cs="Times New Roman"/>
          <w:sz w:val="24"/>
          <w:szCs w:val="24"/>
        </w:rPr>
      </w:pPr>
      <w:r>
        <w:rPr>
          <w:rFonts w:hint="eastAsia" w:ascii="宋体" w:hAnsi="宋体" w:eastAsia="宋体" w:cs="Times New Roman"/>
          <w:sz w:val="24"/>
          <w:szCs w:val="24"/>
        </w:rPr>
        <w:t>投标方提供的测试脚本开发需覆盖上述“2</w:t>
      </w:r>
      <w:r>
        <w:rPr>
          <w:rFonts w:ascii="宋体" w:hAnsi="宋体" w:eastAsia="宋体" w:cs="Times New Roman"/>
          <w:sz w:val="24"/>
          <w:szCs w:val="24"/>
        </w:rPr>
        <w:t>.4</w:t>
      </w:r>
      <w:r>
        <w:rPr>
          <w:rFonts w:hint="eastAsia" w:ascii="宋体" w:hAnsi="宋体" w:eastAsia="宋体" w:cs="Times New Roman"/>
          <w:sz w:val="24"/>
          <w:szCs w:val="24"/>
        </w:rPr>
        <w:t>测试规范及测试用例要求”中规定的测试规范及测试用例。提供的软件模型及脚本，需逻辑清晰，功能完整。脚本测试条目与测试用例的条目一一对应且具有索引标记；软件模型及脚本中所有参数，必须有相应的中文说明及应用范围，有对应关系索引说明文档，确保提供的测试中的所有参数，招标方技术人员能在软件模型及脚本中易于找到和编辑。投标方需提供测试样件及测试环境对其开发的测试脚本进行验证，并需针对招标方后期控制器切换提供一轮测试脚本的开发适配服务。</w:t>
      </w:r>
    </w:p>
    <w:p>
      <w:pPr>
        <w:keepNext/>
        <w:keepLines/>
        <w:spacing w:line="416" w:lineRule="auto"/>
        <w:outlineLvl w:val="3"/>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测试服务要求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1）针对C</w:t>
      </w:r>
      <w:r>
        <w:rPr>
          <w:rFonts w:ascii="宋体" w:hAnsi="宋体" w:eastAsia="宋体" w:cs="Times New Roman"/>
          <w:sz w:val="24"/>
          <w:szCs w:val="24"/>
        </w:rPr>
        <w:t>AN/LIN/CANFD</w:t>
      </w:r>
      <w:r>
        <w:rPr>
          <w:rFonts w:hint="eastAsia" w:ascii="宋体" w:hAnsi="宋体" w:eastAsia="宋体" w:cs="Times New Roman"/>
          <w:sz w:val="24"/>
          <w:szCs w:val="24"/>
        </w:rPr>
        <w:t>控制器及以太网控制器分别提供一轮的测试服务。其中适用于招标方已有控制器的相关测试需适配招标方控制器进行测试服务，其他测试内容需投标方提供控制器及测试环境验证相应的测试脚本及测试用例。</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2）在质保期内，针对C</w:t>
      </w:r>
      <w:r>
        <w:rPr>
          <w:rFonts w:ascii="宋体" w:hAnsi="宋体" w:eastAsia="宋体" w:cs="Times New Roman"/>
          <w:sz w:val="24"/>
          <w:szCs w:val="24"/>
        </w:rPr>
        <w:t>AN/LIN/CANFD</w:t>
      </w:r>
      <w:r>
        <w:rPr>
          <w:rFonts w:hint="eastAsia" w:ascii="宋体" w:hAnsi="宋体" w:eastAsia="宋体" w:cs="Times New Roman"/>
          <w:sz w:val="24"/>
          <w:szCs w:val="24"/>
        </w:rPr>
        <w:t>控制器及以太网控制器切换，需基于已开发的测试规范及测试脚本，分别提供一轮测试脚本开发适配及测试服务。</w:t>
      </w:r>
    </w:p>
    <w:p>
      <w:pPr>
        <w:keepNext/>
        <w:keepLines/>
        <w:spacing w:line="416" w:lineRule="auto"/>
        <w:outlineLvl w:val="3"/>
        <w:rPr>
          <w:rFonts w:ascii="宋体" w:hAnsi="宋体" w:eastAsia="宋体" w:cs="Times New Roman"/>
          <w:sz w:val="24"/>
          <w:szCs w:val="24"/>
        </w:rPr>
      </w:pPr>
      <w:r>
        <w:rPr>
          <w:rFonts w:hint="eastAsia" w:ascii="宋体" w:hAnsi="宋体" w:eastAsia="宋体" w:cs="Times New Roman"/>
          <w:sz w:val="24"/>
          <w:szCs w:val="24"/>
        </w:rPr>
        <w:t>4</w:t>
      </w:r>
      <w:r>
        <w:rPr>
          <w:rFonts w:ascii="宋体" w:hAnsi="宋体" w:eastAsia="宋体" w:cs="Times New Roman"/>
          <w:sz w:val="24"/>
          <w:szCs w:val="24"/>
        </w:rPr>
        <w:t>.</w:t>
      </w:r>
      <w:r>
        <w:rPr>
          <w:rFonts w:hint="eastAsia" w:ascii="宋体" w:hAnsi="宋体" w:eastAsia="宋体" w:cs="Times New Roman"/>
          <w:sz w:val="24"/>
          <w:szCs w:val="24"/>
        </w:rPr>
        <w:t>测试培训要求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投标方需提供详细的测试培训方案及保证措施，并经买方确认，保障招标方完成车载网络测试能力建设及测试脚本开发能力建设工作。培训内容包括但不限于传统网络及车载以太网基础知识培训、车载网络协议培训、脚本开发语言培训、脚本开发流程培训、测试执行培训，指导设备使用人员具备测试执行、测试脚本修改、测试脚本开发能力。并在后续的质保期内继续提供测试脚本开发及测试执行的支持及培训服务</w:t>
      </w:r>
      <w:bookmarkStart w:id="45" w:name="_Hlk132211215"/>
      <w:r>
        <w:rPr>
          <w:rFonts w:hint="eastAsia" w:ascii="宋体" w:hAnsi="宋体" w:eastAsia="宋体" w:cs="Times New Roman"/>
          <w:sz w:val="24"/>
          <w:szCs w:val="24"/>
        </w:rPr>
        <w:t>，并做到2</w:t>
      </w:r>
      <w:r>
        <w:rPr>
          <w:rFonts w:ascii="宋体" w:hAnsi="宋体" w:eastAsia="宋体" w:cs="Times New Roman"/>
          <w:sz w:val="24"/>
          <w:szCs w:val="24"/>
        </w:rPr>
        <w:t>4</w:t>
      </w:r>
      <w:r>
        <w:rPr>
          <w:rFonts w:hint="eastAsia" w:ascii="宋体" w:hAnsi="宋体" w:eastAsia="宋体" w:cs="Times New Roman"/>
          <w:sz w:val="24"/>
          <w:szCs w:val="24"/>
        </w:rPr>
        <w:t>h内响应。要求经过培训后招标方测试工程师应当具备根据中标方提供的测试执行手册独立进行测试及分析测试结果的能力、具备根据中标方提供的测试平台独立完成测试脚本开发及适配的能力。</w:t>
      </w:r>
      <w:bookmarkEnd w:id="45"/>
    </w:p>
    <w:p>
      <w:pPr>
        <w:keepNext/>
        <w:keepLines/>
        <w:spacing w:line="416" w:lineRule="auto"/>
        <w:outlineLvl w:val="3"/>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投标方资质要求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）投标方必须具备独立的网络测试设备集成、运行调试、软件测试脚本开发及人机界面开发能力，并具备将所有待测控制器接入本系统实现整车网络测试的能力。</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）投标方应具有良好的汽车行业销售业绩和使用信誉，必须具备同类产品良好的售后服务和技术支持，并提供相关证明材料佐证。</w:t>
      </w:r>
    </w:p>
    <w:p>
      <w:pPr>
        <w:keepNext/>
        <w:keepLines/>
        <w:spacing w:line="416" w:lineRule="auto"/>
        <w:outlineLvl w:val="3"/>
        <w:rPr>
          <w:rFonts w:ascii="宋体" w:hAnsi="宋体" w:eastAsia="宋体" w:cs="Times New Roman"/>
          <w:sz w:val="24"/>
          <w:szCs w:val="24"/>
        </w:rPr>
      </w:pPr>
      <w:r>
        <w:rPr>
          <w:rFonts w:hint="eastAsia" w:ascii="宋体" w:hAnsi="宋体" w:eastAsia="宋体" w:cs="Times New Roman"/>
          <w:sz w:val="24"/>
          <w:szCs w:val="24"/>
        </w:rPr>
        <w:t>6</w:t>
      </w:r>
      <w:r>
        <w:rPr>
          <w:rFonts w:ascii="宋体" w:hAnsi="宋体" w:eastAsia="宋体" w:cs="Times New Roman"/>
          <w:sz w:val="24"/>
          <w:szCs w:val="24"/>
        </w:rPr>
        <w:t>.</w:t>
      </w:r>
      <w:r>
        <w:rPr>
          <w:rFonts w:hint="eastAsia" w:ascii="宋体" w:hAnsi="宋体" w:eastAsia="宋体" w:cs="Times New Roman"/>
          <w:sz w:val="24"/>
          <w:szCs w:val="24"/>
        </w:rPr>
        <w:t>附件要求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）需配备两台打印机，型号：</w:t>
      </w:r>
    </w:p>
    <w:p>
      <w:pPr>
        <w:spacing w:line="420" w:lineRule="exact"/>
        <w:ind w:left="420" w:firstLine="480" w:firstLineChars="200"/>
        <w:rPr>
          <w:rFonts w:ascii="宋体" w:hAnsi="宋体" w:eastAsia="宋体" w:cs="Times New Roman"/>
          <w:sz w:val="24"/>
          <w:szCs w:val="24"/>
        </w:rPr>
      </w:pPr>
      <w:r>
        <w:rPr>
          <w:rFonts w:hint="eastAsia" w:ascii="MS Gothic" w:hAnsi="MS Gothic" w:eastAsia="MS Gothic" w:cs="MS Gothic"/>
          <w:sz w:val="24"/>
          <w:szCs w:val="24"/>
        </w:rPr>
        <w:t>▶</w:t>
      </w:r>
      <w:r>
        <w:rPr>
          <w:rFonts w:hint="eastAsia" w:ascii="MS Gothic" w:hAnsi="MS Gothic" w:eastAsia="等线" w:cs="MS Gothic"/>
          <w:sz w:val="24"/>
          <w:szCs w:val="24"/>
        </w:rPr>
        <w:t xml:space="preserve"> </w:t>
      </w:r>
      <w:r>
        <w:rPr>
          <w:rFonts w:hint="eastAsia" w:ascii="宋体" w:hAnsi="宋体" w:eastAsia="宋体" w:cs="Times New Roman"/>
          <w:sz w:val="24"/>
          <w:szCs w:val="24"/>
        </w:rPr>
        <w:t>惠普H</w:t>
      </w:r>
      <w:r>
        <w:rPr>
          <w:rFonts w:ascii="宋体" w:hAnsi="宋体" w:eastAsia="宋体" w:cs="Times New Roman"/>
          <w:sz w:val="24"/>
          <w:szCs w:val="24"/>
        </w:rPr>
        <w:t>P LJ P1108</w:t>
      </w:r>
      <w:r>
        <w:rPr>
          <w:rFonts w:hint="eastAsia" w:ascii="宋体" w:hAnsi="宋体" w:eastAsia="宋体" w:cs="Times New Roman"/>
          <w:sz w:val="24"/>
          <w:szCs w:val="24"/>
        </w:rPr>
        <w:t>。</w:t>
      </w:r>
    </w:p>
    <w:p>
      <w:pPr>
        <w:spacing w:line="420" w:lineRule="exact"/>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2）需配备两台笔记本电脑用于移动测量，规格：</w:t>
      </w:r>
    </w:p>
    <w:p>
      <w:pPr>
        <w:spacing w:line="420" w:lineRule="exact"/>
        <w:ind w:left="420" w:firstLine="480" w:firstLineChars="200"/>
        <w:rPr>
          <w:rFonts w:ascii="宋体" w:hAnsi="宋体" w:eastAsia="宋体" w:cs="Times New Roman"/>
          <w:sz w:val="24"/>
          <w:szCs w:val="24"/>
          <w:highlight w:val="none"/>
        </w:rPr>
      </w:pPr>
      <w:r>
        <w:rPr>
          <w:rFonts w:hint="eastAsia" w:ascii="MS Gothic" w:hAnsi="MS Gothic" w:eastAsia="MS Gothic" w:cs="MS Gothic"/>
          <w:sz w:val="24"/>
          <w:szCs w:val="24"/>
          <w:highlight w:val="none"/>
        </w:rPr>
        <w:t>▶</w:t>
      </w:r>
      <w:r>
        <w:rPr>
          <w:rFonts w:hint="eastAsia" w:ascii="MS Gothic" w:hAnsi="MS Gothic" w:eastAsia="等线" w:cs="MS Gothic"/>
          <w:sz w:val="24"/>
          <w:szCs w:val="24"/>
          <w:highlight w:val="none"/>
        </w:rPr>
        <w:t xml:space="preserve"> </w:t>
      </w:r>
      <w:r>
        <w:rPr>
          <w:rFonts w:hint="eastAsia" w:ascii="宋体" w:hAnsi="宋体" w:eastAsia="宋体" w:cs="Times New Roman"/>
          <w:sz w:val="24"/>
          <w:szCs w:val="24"/>
          <w:highlight w:val="none"/>
        </w:rPr>
        <w:t>内核≥4核，主频≥1.8GHz；</w:t>
      </w:r>
    </w:p>
    <w:p>
      <w:pPr>
        <w:spacing w:line="420" w:lineRule="exact"/>
        <w:ind w:left="420" w:firstLine="480" w:firstLineChars="200"/>
        <w:rPr>
          <w:rFonts w:ascii="宋体" w:hAnsi="宋体" w:eastAsia="宋体" w:cs="Times New Roman"/>
          <w:sz w:val="24"/>
          <w:szCs w:val="24"/>
          <w:highlight w:val="none"/>
        </w:rPr>
      </w:pPr>
      <w:r>
        <w:rPr>
          <w:rFonts w:hint="eastAsia" w:ascii="MS Gothic" w:hAnsi="MS Gothic" w:eastAsia="MS Gothic" w:cs="MS Gothic"/>
          <w:sz w:val="24"/>
          <w:szCs w:val="24"/>
          <w:highlight w:val="none"/>
        </w:rPr>
        <w:t>▶</w:t>
      </w:r>
      <w:r>
        <w:rPr>
          <w:rFonts w:hint="eastAsia" w:ascii="MS Gothic" w:hAnsi="MS Gothic" w:eastAsia="等线" w:cs="MS Gothic"/>
          <w:sz w:val="24"/>
          <w:szCs w:val="24"/>
          <w:highlight w:val="none"/>
        </w:rPr>
        <w:t xml:space="preserve"> </w:t>
      </w:r>
      <w:r>
        <w:rPr>
          <w:rFonts w:hint="eastAsia" w:ascii="宋体" w:hAnsi="宋体" w:eastAsia="宋体" w:cs="Times New Roman"/>
          <w:sz w:val="24"/>
          <w:szCs w:val="24"/>
          <w:highlight w:val="none"/>
        </w:rPr>
        <w:t>内存至少</w:t>
      </w:r>
      <w:r>
        <w:rPr>
          <w:rFonts w:ascii="宋体" w:hAnsi="宋体" w:eastAsia="宋体" w:cs="Times New Roman"/>
          <w:sz w:val="24"/>
          <w:szCs w:val="24"/>
          <w:highlight w:val="none"/>
        </w:rPr>
        <w:t>16</w:t>
      </w:r>
      <w:r>
        <w:rPr>
          <w:rFonts w:hint="eastAsia" w:ascii="宋体" w:hAnsi="宋体" w:eastAsia="宋体" w:cs="Times New Roman"/>
          <w:sz w:val="24"/>
          <w:szCs w:val="24"/>
          <w:highlight w:val="none"/>
        </w:rPr>
        <w:t>G；</w:t>
      </w:r>
    </w:p>
    <w:p>
      <w:pPr>
        <w:spacing w:line="420" w:lineRule="exact"/>
        <w:ind w:left="420" w:firstLine="480" w:firstLineChars="200"/>
        <w:rPr>
          <w:rFonts w:ascii="宋体" w:hAnsi="宋体" w:eastAsia="宋体" w:cs="Times New Roman"/>
          <w:sz w:val="24"/>
          <w:szCs w:val="24"/>
          <w:highlight w:val="none"/>
        </w:rPr>
      </w:pPr>
      <w:r>
        <w:rPr>
          <w:rFonts w:hint="eastAsia" w:ascii="MS Gothic" w:hAnsi="MS Gothic" w:eastAsia="MS Gothic" w:cs="MS Gothic"/>
          <w:sz w:val="24"/>
          <w:szCs w:val="24"/>
          <w:highlight w:val="none"/>
        </w:rPr>
        <w:t>▶</w:t>
      </w:r>
      <w:r>
        <w:rPr>
          <w:rFonts w:hint="eastAsia" w:ascii="MS Gothic" w:hAnsi="MS Gothic" w:eastAsia="等线" w:cs="MS Gothic"/>
          <w:sz w:val="24"/>
          <w:szCs w:val="24"/>
          <w:highlight w:val="none"/>
        </w:rPr>
        <w:t xml:space="preserve"> </w:t>
      </w:r>
      <w:r>
        <w:rPr>
          <w:rFonts w:hint="eastAsia" w:ascii="宋体" w:hAnsi="宋体" w:eastAsia="宋体" w:cs="Times New Roman"/>
          <w:sz w:val="24"/>
          <w:szCs w:val="24"/>
          <w:highlight w:val="none"/>
        </w:rPr>
        <w:t>固态硬盘不低于</w:t>
      </w:r>
      <w:r>
        <w:rPr>
          <w:rFonts w:ascii="宋体" w:hAnsi="宋体" w:eastAsia="宋体" w:cs="Times New Roman"/>
          <w:sz w:val="24"/>
          <w:szCs w:val="24"/>
          <w:highlight w:val="none"/>
        </w:rPr>
        <w:t>1T</w:t>
      </w:r>
      <w:r>
        <w:rPr>
          <w:rFonts w:hint="eastAsia" w:ascii="宋体" w:hAnsi="宋体" w:eastAsia="宋体" w:cs="Times New Roman"/>
          <w:sz w:val="24"/>
          <w:szCs w:val="24"/>
          <w:highlight w:val="none"/>
        </w:rPr>
        <w:t>B；</w:t>
      </w:r>
    </w:p>
    <w:p>
      <w:pPr>
        <w:spacing w:line="420" w:lineRule="exact"/>
        <w:ind w:left="420" w:firstLine="480" w:firstLineChars="200"/>
        <w:rPr>
          <w:rFonts w:ascii="宋体" w:hAnsi="宋体" w:eastAsia="宋体" w:cs="Times New Roman"/>
          <w:sz w:val="24"/>
          <w:szCs w:val="24"/>
          <w:highlight w:val="none"/>
        </w:rPr>
      </w:pPr>
      <w:r>
        <w:rPr>
          <w:rFonts w:hint="eastAsia" w:ascii="MS Gothic" w:hAnsi="MS Gothic" w:eastAsia="MS Gothic" w:cs="MS Gothic"/>
          <w:sz w:val="24"/>
          <w:szCs w:val="24"/>
          <w:highlight w:val="none"/>
        </w:rPr>
        <w:t>▶</w:t>
      </w:r>
      <w:r>
        <w:rPr>
          <w:rFonts w:hint="eastAsia" w:ascii="MS Gothic" w:hAnsi="MS Gothic" w:eastAsia="等线" w:cs="MS Gothic"/>
          <w:sz w:val="24"/>
          <w:szCs w:val="24"/>
          <w:highlight w:val="none"/>
        </w:rPr>
        <w:t xml:space="preserve"> </w:t>
      </w:r>
      <w:r>
        <w:rPr>
          <w:rFonts w:hint="eastAsia" w:ascii="宋体" w:hAnsi="宋体" w:eastAsia="宋体" w:cs="Times New Roman"/>
          <w:sz w:val="24"/>
          <w:szCs w:val="24"/>
          <w:highlight w:val="none"/>
        </w:rPr>
        <w:t>USB插口数量≥4（可配置转接器）；</w:t>
      </w:r>
    </w:p>
    <w:p>
      <w:pPr>
        <w:spacing w:line="420" w:lineRule="exact"/>
        <w:ind w:left="420" w:firstLine="480" w:firstLineChars="200"/>
        <w:rPr>
          <w:rFonts w:ascii="宋体" w:hAnsi="宋体" w:eastAsia="宋体" w:cs="Times New Roman"/>
          <w:sz w:val="24"/>
          <w:szCs w:val="24"/>
          <w:highlight w:val="none"/>
        </w:rPr>
      </w:pPr>
      <w:r>
        <w:rPr>
          <w:rFonts w:hint="eastAsia" w:ascii="MS Gothic" w:hAnsi="MS Gothic" w:eastAsia="MS Gothic" w:cs="MS Gothic"/>
          <w:sz w:val="24"/>
          <w:szCs w:val="24"/>
          <w:highlight w:val="none"/>
        </w:rPr>
        <w:t>▶</w:t>
      </w:r>
      <w:r>
        <w:rPr>
          <w:rFonts w:hint="eastAsia" w:ascii="MS Gothic" w:hAnsi="MS Gothic" w:eastAsia="等线" w:cs="MS Gothic"/>
          <w:sz w:val="24"/>
          <w:szCs w:val="24"/>
          <w:highlight w:val="none"/>
        </w:rPr>
        <w:t xml:space="preserve"> </w:t>
      </w:r>
      <w:r>
        <w:rPr>
          <w:rFonts w:hint="eastAsia" w:ascii="宋体" w:hAnsi="宋体" w:eastAsia="宋体" w:cs="Times New Roman"/>
          <w:sz w:val="24"/>
          <w:szCs w:val="24"/>
          <w:highlight w:val="none"/>
        </w:rPr>
        <w:t>网口接口数量≥1（可配置转接器）并配备鼠标（无线）。</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3）需配备两套固态移动硬盘用于数据存储，容量不小于1</w:t>
      </w:r>
      <w:r>
        <w:rPr>
          <w:rFonts w:ascii="宋体" w:hAnsi="宋体" w:eastAsia="宋体" w:cs="Times New Roman"/>
          <w:sz w:val="24"/>
          <w:szCs w:val="24"/>
        </w:rPr>
        <w:t>T</w:t>
      </w:r>
      <w:r>
        <w:rPr>
          <w:rFonts w:hint="eastAsia" w:ascii="宋体" w:hAnsi="宋体" w:eastAsia="宋体" w:cs="Times New Roman"/>
          <w:sz w:val="24"/>
          <w:szCs w:val="24"/>
        </w:rPr>
        <w:t>。</w:t>
      </w:r>
    </w:p>
    <w:p>
      <w:pPr>
        <w:keepNext/>
        <w:keepLines/>
        <w:spacing w:line="416" w:lineRule="auto"/>
        <w:outlineLvl w:val="3"/>
        <w:rPr>
          <w:rFonts w:ascii="宋体" w:hAnsi="宋体" w:eastAsia="宋体" w:cs="Times New Roman"/>
          <w:sz w:val="24"/>
          <w:szCs w:val="24"/>
        </w:rPr>
      </w:pPr>
      <w:r>
        <w:rPr>
          <w:rFonts w:hint="eastAsia" w:ascii="宋体" w:hAnsi="宋体" w:eastAsia="宋体" w:cs="Times New Roman"/>
          <w:sz w:val="24"/>
          <w:szCs w:val="24"/>
        </w:rPr>
        <w:t>7</w:t>
      </w:r>
      <w:r>
        <w:rPr>
          <w:rFonts w:ascii="宋体" w:hAnsi="宋体" w:eastAsia="宋体" w:cs="Times New Roman"/>
          <w:sz w:val="24"/>
          <w:szCs w:val="24"/>
        </w:rPr>
        <w:t>.</w:t>
      </w:r>
      <w:r>
        <w:rPr>
          <w:rFonts w:hint="eastAsia" w:ascii="宋体" w:hAnsi="宋体" w:eastAsia="宋体" w:cs="Times New Roman"/>
          <w:sz w:val="24"/>
          <w:szCs w:val="24"/>
        </w:rPr>
        <w:t>其他要求</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）测试系统机柜外观色彩与招标方商定并在技术协议中明确，投标报价不变。</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）设备及设备所含测量元件必须经过省级或省级以上计量单位计量认证，并提供检定/校准证书。</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）设备在后续使用过程中所产生的测试方法、测试创新等专利归招标方所有。</w:t>
      </w:r>
    </w:p>
    <w:p>
      <w:pPr>
        <w:spacing w:line="420" w:lineRule="exact"/>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）需要提供详细的测试软件及测试硬件的中文使用说明。</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5）设备安全防护、环境保护、节能要求需符合中国有关标准要求。</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6）设备需易于保养、维修，相关易损件容易更换。</w:t>
      </w:r>
    </w:p>
    <w:p>
      <w:pPr>
        <w:spacing w:line="42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7）设备的材料具有防腐、防锈处理。</w:t>
      </w:r>
    </w:p>
    <w:p>
      <w:pPr>
        <w:spacing w:line="420" w:lineRule="exact"/>
        <w:ind w:firstLine="480" w:firstLineChars="200"/>
        <w:rPr>
          <w:rFonts w:ascii="宋体" w:hAnsi="宋体" w:eastAsia="宋体" w:cs="Times New Roman"/>
          <w:sz w:val="24"/>
          <w:szCs w:val="24"/>
        </w:rPr>
        <w:sectPr>
          <w:pgSz w:w="11906" w:h="16838"/>
          <w:pgMar w:top="1588" w:right="1418" w:bottom="1134" w:left="1418" w:header="851" w:footer="992" w:gutter="0"/>
          <w:pgNumType w:fmt="numberInDash"/>
          <w:cols w:space="720" w:num="1"/>
          <w:titlePg/>
          <w:docGrid w:type="lines" w:linePitch="312" w:charSpace="0"/>
        </w:sectPr>
      </w:pPr>
      <w:r>
        <w:rPr>
          <w:rFonts w:ascii="宋体" w:hAnsi="宋体" w:eastAsia="宋体" w:cs="Times New Roman"/>
          <w:sz w:val="24"/>
          <w:szCs w:val="24"/>
        </w:rPr>
        <w:t>8</w:t>
      </w:r>
      <w:r>
        <w:rPr>
          <w:rFonts w:hint="eastAsia" w:ascii="宋体" w:hAnsi="宋体" w:eastAsia="宋体" w:cs="Times New Roman"/>
          <w:sz w:val="24"/>
          <w:szCs w:val="24"/>
        </w:rPr>
        <w:t>）本项目属交钥匙工程。招标方仅提供电气接口、实施场地等协助工作，设备的运输、搬运、安置就位、电气接线等相关工作均由投标方提供完成，如有争议，解释权归招标方</w:t>
      </w:r>
      <w:bookmarkStart w:id="46" w:name="_Toc465187642"/>
      <w:r>
        <w:rPr>
          <w:rFonts w:hint="eastAsia" w:ascii="宋体" w:hAnsi="宋体" w:eastAsia="宋体" w:cs="Times New Roman"/>
          <w:sz w:val="24"/>
          <w:szCs w:val="24"/>
        </w:rPr>
        <w:t>。</w:t>
      </w:r>
    </w:p>
    <w:bookmarkEnd w:id="34"/>
    <w:bookmarkEnd w:id="46"/>
    <w:p>
      <w:pPr>
        <w:spacing w:line="360" w:lineRule="auto"/>
        <w:rPr>
          <w:rFonts w:ascii="宋体" w:hAnsi="宋体" w:eastAsia="宋体" w:cs="宋体"/>
          <w:b/>
          <w:bCs/>
          <w:sz w:val="24"/>
          <w:szCs w:val="24"/>
        </w:rPr>
      </w:pPr>
    </w:p>
    <w:p>
      <w:pPr>
        <w:pStyle w:val="5"/>
        <w:ind w:firstLine="420"/>
        <w:rPr>
          <w:rFonts w:ascii="宋体" w:hAnsi="宋体" w:cs="宋体"/>
          <w:b w:val="0"/>
          <w:bCs w:val="0"/>
          <w:sz w:val="24"/>
          <w:szCs w:val="24"/>
        </w:rPr>
      </w:pPr>
      <w:r>
        <w:rPr>
          <w:rFonts w:hint="eastAsia" w:ascii="宋体" w:hAnsi="宋体" w:cs="宋体"/>
          <w:sz w:val="24"/>
          <w:szCs w:val="24"/>
        </w:rPr>
        <w:t>四、执行标准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5229"/>
        <w:gridCol w:w="184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zCs w:val="20"/>
              </w:rPr>
            </w:pPr>
            <w:r>
              <w:rPr>
                <w:rFonts w:hint="eastAsia" w:ascii="宋体" w:hAnsi="宋体" w:eastAsia="宋体" w:cs="Times New Roman"/>
                <w:szCs w:val="20"/>
              </w:rPr>
              <w:t>序号</w:t>
            </w:r>
          </w:p>
        </w:tc>
        <w:tc>
          <w:tcPr>
            <w:tcW w:w="522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zCs w:val="20"/>
              </w:rPr>
            </w:pPr>
            <w:r>
              <w:rPr>
                <w:rFonts w:hint="eastAsia" w:ascii="宋体" w:hAnsi="宋体" w:eastAsia="宋体" w:cs="Times New Roman"/>
                <w:szCs w:val="20"/>
              </w:rPr>
              <w:t>标准名称</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zCs w:val="20"/>
              </w:rPr>
            </w:pPr>
            <w:r>
              <w:rPr>
                <w:rFonts w:hint="eastAsia" w:ascii="宋体" w:hAnsi="宋体" w:eastAsia="宋体" w:cs="Times New Roman"/>
                <w:szCs w:val="20"/>
              </w:rPr>
              <w:t>标准编号</w:t>
            </w:r>
          </w:p>
        </w:tc>
        <w:tc>
          <w:tcPr>
            <w:tcW w:w="110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eastAsia="宋体" w:cs="Times New Roman"/>
                <w:szCs w:val="20"/>
              </w:rPr>
            </w:pPr>
            <w:r>
              <w:rPr>
                <w:rFonts w:hint="eastAsia" w:ascii="宋体" w:hAnsi="宋体" w:eastAsia="宋体" w:cs="Times New Roman"/>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000000"/>
                <w:szCs w:val="20"/>
              </w:rPr>
            </w:pPr>
            <w:r>
              <w:rPr>
                <w:rFonts w:hint="eastAsia" w:ascii="宋体" w:hAnsi="宋体" w:eastAsia="宋体"/>
                <w:color w:val="000000"/>
                <w:szCs w:val="21"/>
              </w:rPr>
              <w:t>1</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Arial"/>
                <w:color w:val="000000"/>
                <w:szCs w:val="20"/>
                <w:highlight w:val="yellow"/>
              </w:rPr>
            </w:pPr>
            <w:r>
              <w:rPr>
                <w:rFonts w:hint="eastAsia" w:ascii="宋体" w:hAnsi="宋体" w:eastAsia="宋体"/>
                <w:color w:val="000000"/>
                <w:szCs w:val="21"/>
              </w:rPr>
              <w:t>卖方提供企业标准</w:t>
            </w:r>
            <w:r>
              <w:rPr>
                <w:rFonts w:ascii="宋体" w:hAnsi="宋体" w:eastAsia="宋体"/>
                <w:color w:val="000000"/>
                <w:szCs w:val="21"/>
              </w:rPr>
              <w:t>/</w:t>
            </w:r>
            <w:r>
              <w:rPr>
                <w:rFonts w:hint="eastAsia" w:ascii="宋体" w:hAnsi="宋体" w:eastAsia="宋体" w:cs="宋体"/>
                <w:color w:val="000000"/>
                <w:szCs w:val="21"/>
              </w:rPr>
              <w:t>规范</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000000"/>
                <w:szCs w:val="20"/>
                <w:highlight w:val="yellow"/>
              </w:rPr>
            </w:pPr>
            <w:r>
              <w:rPr>
                <w:rFonts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0"/>
              </w:rPr>
            </w:pPr>
            <w:r>
              <w:rPr>
                <w:rFonts w:hint="eastAsia" w:ascii="宋体" w:hAnsi="宋体" w:eastAsia="宋体"/>
                <w:bCs/>
                <w:szCs w:val="21"/>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000000"/>
                <w:szCs w:val="20"/>
              </w:rPr>
            </w:pPr>
            <w:r>
              <w:rPr>
                <w:rFonts w:hint="eastAsia" w:ascii="宋体" w:hAnsi="宋体" w:eastAsia="宋体"/>
                <w:color w:val="000000"/>
                <w:szCs w:val="21"/>
              </w:rPr>
              <w:t>2</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cs="Arial"/>
                <w:color w:val="000000"/>
                <w:szCs w:val="20"/>
              </w:rPr>
            </w:pPr>
            <w:r>
              <w:rPr>
                <w:rFonts w:ascii="宋体" w:hAnsi="宋体" w:eastAsia="宋体" w:cs="Arial"/>
                <w:color w:val="000000"/>
                <w:szCs w:val="21"/>
              </w:rPr>
              <w:t>Road vehicles - Controller area network (CAN) - Part 1: Data link layer and physical signaling</w:t>
            </w:r>
            <w:r>
              <w:rPr>
                <w:rFonts w:hint="eastAsia" w:ascii="宋体" w:hAnsi="宋体" w:eastAsia="宋体" w:cs="宋体"/>
                <w:color w:val="000000"/>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Arial"/>
                <w:color w:val="000000"/>
                <w:szCs w:val="20"/>
              </w:rPr>
            </w:pPr>
            <w:r>
              <w:rPr>
                <w:rFonts w:ascii="宋体" w:hAnsi="宋体" w:eastAsia="宋体" w:cs="Arial"/>
                <w:color w:val="000000"/>
                <w:szCs w:val="21"/>
              </w:rPr>
              <w:t>ISO 11898-1</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Cs w:val="20"/>
              </w:rPr>
            </w:pPr>
            <w:r>
              <w:rPr>
                <w:rFonts w:hint="eastAsia" w:ascii="宋体" w:hAnsi="宋体" w:eastAsia="宋体" w:cs="Times New Roman"/>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3</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 - Controller area network(CAN) - Part 2:High-speed medium access unit</w:t>
            </w:r>
            <w:r>
              <w:rPr>
                <w:rFonts w:hint="eastAsia" w:ascii="宋体" w:hAnsi="宋体" w:eastAsia="宋体" w:cs="宋体"/>
                <w:color w:val="000000"/>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 11898-2</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4</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 - Controller area network(CAN) - Part 2:High-speed medium access unit with low-power mode</w:t>
            </w:r>
            <w:r>
              <w:rPr>
                <w:rFonts w:hint="eastAsia" w:ascii="宋体" w:hAnsi="宋体" w:eastAsia="宋体" w:cs="Arial"/>
                <w:color w:val="000000"/>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 11898-5</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5</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 - Diagnostics on CAN - Part 2: Network layer services (2004)</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ISO/DIS 15765-2</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6</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 - Diagnostics on CAN - Part 3: Implementation of Diagnostic Services (2004)</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ISO/DIS 15765-3</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7</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 - Diagnostics on Controller Area Network (CAN) - Part 4: Requirements for emissions-related systems</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 15765-4</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8</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LIN Network for Vehicle Applications</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SAE J2602-1</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9</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hint="eastAsia" w:ascii="宋体" w:hAnsi="宋体" w:eastAsia="宋体" w:cs="Arial"/>
                <w:color w:val="000000"/>
                <w:szCs w:val="21"/>
              </w:rPr>
              <w:t>AUTOSAR NM</w:t>
            </w:r>
            <w:r>
              <w:rPr>
                <w:rFonts w:hint="eastAsia" w:ascii="宋体" w:hAnsi="宋体" w:eastAsia="宋体" w:cs="宋体"/>
                <w:color w:val="000000"/>
                <w:szCs w:val="21"/>
              </w:rPr>
              <w:t>：</w:t>
            </w:r>
            <w:r>
              <w:rPr>
                <w:rFonts w:hint="eastAsia" w:ascii="宋体" w:hAnsi="宋体" w:eastAsia="宋体" w:cs="Arial"/>
                <w:color w:val="000000"/>
                <w:szCs w:val="21"/>
              </w:rPr>
              <w:t>AUTOSAR Specification of CAN Networkwork Management</w:t>
            </w:r>
            <w:r>
              <w:rPr>
                <w:rFonts w:hint="eastAsia" w:ascii="宋体" w:hAnsi="宋体" w:eastAsia="宋体" w:cs="宋体"/>
                <w:color w:val="000000"/>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0</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hint="eastAsia" w:ascii="宋体" w:hAnsi="宋体" w:eastAsia="宋体" w:cs="Arial"/>
                <w:color w:val="000000"/>
                <w:szCs w:val="21"/>
              </w:rPr>
              <w:t>Road vehicles — Unified diagnostic services (UDS) — Specification and requirements;</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cs="Arial"/>
                <w:color w:val="000000"/>
                <w:szCs w:val="21"/>
              </w:rPr>
              <w:t>ISO</w:t>
            </w:r>
            <w:r>
              <w:rPr>
                <w:rFonts w:ascii="宋体" w:hAnsi="宋体" w:eastAsia="宋体" w:cs="Arial"/>
                <w:color w:val="000000"/>
                <w:szCs w:val="21"/>
              </w:rPr>
              <w:t xml:space="preserve"> </w:t>
            </w:r>
            <w:r>
              <w:rPr>
                <w:rFonts w:hint="eastAsia" w:ascii="宋体" w:hAnsi="宋体" w:eastAsia="宋体" w:cs="Arial"/>
                <w:color w:val="000000"/>
                <w:szCs w:val="21"/>
              </w:rPr>
              <w:t>14229</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1</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LIN Specification Package 2.1</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2</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Road vehicles-Diagnostic communication over Internet Protocol(DoIP)</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ascii="宋体" w:hAnsi="宋体" w:eastAsia="宋体" w:cs="Arial"/>
                <w:color w:val="000000"/>
                <w:szCs w:val="21"/>
              </w:rPr>
              <w:t>ISO 13400</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3</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TC8_OPEN Alliance Automotive Ethernet ECU Test Specification</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4</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IEEE Standard for Ethernet</w:t>
            </w:r>
            <w:r>
              <w:rPr>
                <w:rFonts w:hint="eastAsia" w:ascii="宋体" w:hAnsi="宋体" w:eastAsia="宋体" w:cs="Arial"/>
                <w:color w:val="000000"/>
                <w:szCs w:val="21"/>
              </w:rPr>
              <w:t>；</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5</w:t>
            </w:r>
          </w:p>
        </w:tc>
        <w:tc>
          <w:tcPr>
            <w:tcW w:w="5229"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eastAsia="宋体"/>
                <w:szCs w:val="21"/>
              </w:rPr>
            </w:pPr>
            <w:r>
              <w:rPr>
                <w:rFonts w:ascii="宋体" w:hAnsi="宋体" w:eastAsia="宋体" w:cs="Arial"/>
                <w:color w:val="000000"/>
                <w:szCs w:val="21"/>
              </w:rPr>
              <w:t>IEEE 802.3bw-2015</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6</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szCs w:val="21"/>
              </w:rPr>
            </w:pPr>
            <w:r>
              <w:rPr>
                <w:rFonts w:hint="eastAsia" w:ascii="宋体" w:hAnsi="宋体" w:eastAsia="宋体" w:cs="Arial"/>
                <w:color w:val="000000"/>
                <w:szCs w:val="21"/>
              </w:rPr>
              <w:t>RFC 791, Internet Protocol (IP), J. Postel, September 1981</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7</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szCs w:val="21"/>
              </w:rPr>
            </w:pPr>
            <w:r>
              <w:rPr>
                <w:rFonts w:hint="eastAsia" w:ascii="宋体" w:hAnsi="宋体" w:eastAsia="宋体" w:cs="Arial"/>
                <w:color w:val="000000"/>
                <w:szCs w:val="21"/>
              </w:rPr>
              <w:t>RFC 792, Internet Control Message Protocol (ICMP), J. Postel, September 1981</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8</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szCs w:val="21"/>
              </w:rPr>
            </w:pPr>
            <w:r>
              <w:rPr>
                <w:rFonts w:hint="eastAsia" w:ascii="宋体" w:hAnsi="宋体" w:eastAsia="宋体" w:cs="Arial"/>
                <w:color w:val="000000"/>
                <w:szCs w:val="21"/>
              </w:rPr>
              <w:t>RFC 793 Transmission Control Protocol (TCP) 1981</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1</w:t>
            </w:r>
            <w:r>
              <w:rPr>
                <w:rFonts w:ascii="宋体" w:hAnsi="宋体" w:eastAsia="宋体"/>
                <w:color w:val="000000"/>
                <w:szCs w:val="21"/>
              </w:rPr>
              <w:t>9</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cs="Arial"/>
                <w:color w:val="000000"/>
                <w:szCs w:val="21"/>
              </w:rPr>
            </w:pPr>
            <w:r>
              <w:rPr>
                <w:rFonts w:hint="eastAsia" w:ascii="宋体" w:hAnsi="宋体" w:eastAsia="宋体" w:cs="Arial"/>
                <w:color w:val="000000"/>
                <w:szCs w:val="21"/>
              </w:rPr>
              <w:t>RFC 768 User Datagram Protocol</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olor w:val="000000"/>
                <w:szCs w:val="21"/>
              </w:rPr>
            </w:pPr>
            <w:r>
              <w:rPr>
                <w:rFonts w:hint="eastAsia" w:ascii="宋体" w:hAnsi="宋体" w:eastAsia="宋体"/>
                <w:color w:val="000000"/>
                <w:szCs w:val="21"/>
              </w:rPr>
              <w:t>2</w:t>
            </w:r>
            <w:r>
              <w:rPr>
                <w:rFonts w:ascii="宋体" w:hAnsi="宋体" w:eastAsia="宋体"/>
                <w:color w:val="000000"/>
                <w:szCs w:val="21"/>
              </w:rPr>
              <w:t>0</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cs="Arial"/>
                <w:color w:val="000000"/>
                <w:szCs w:val="21"/>
              </w:rPr>
            </w:pPr>
            <w:r>
              <w:rPr>
                <w:rFonts w:ascii="宋体" w:hAnsi="宋体" w:eastAsia="宋体" w:cs="Arial"/>
                <w:color w:val="000000"/>
                <w:szCs w:val="21"/>
              </w:rPr>
              <w:t>SAE J1939</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szCs w:val="21"/>
              </w:rPr>
            </w:pPr>
            <w:r>
              <w:rPr>
                <w:rFonts w:hint="eastAsia" w:ascii="宋体" w:hAnsi="宋体" w:eastAsia="宋体"/>
                <w:color w:val="000000"/>
                <w:szCs w:val="21"/>
              </w:rPr>
              <w:t>2</w:t>
            </w:r>
            <w:r>
              <w:rPr>
                <w:rFonts w:ascii="宋体" w:hAnsi="宋体" w:eastAsia="宋体"/>
                <w:color w:val="000000"/>
                <w:szCs w:val="21"/>
              </w:rPr>
              <w:t>1</w:t>
            </w:r>
          </w:p>
        </w:tc>
        <w:tc>
          <w:tcPr>
            <w:tcW w:w="5229" w:type="dxa"/>
            <w:tcBorders>
              <w:top w:val="single" w:color="auto" w:sz="4" w:space="0"/>
              <w:left w:val="single" w:color="auto" w:sz="4" w:space="0"/>
              <w:bottom w:val="single" w:color="auto" w:sz="4" w:space="0"/>
              <w:right w:val="single" w:color="auto" w:sz="4" w:space="0"/>
            </w:tcBorders>
          </w:tcPr>
          <w:p>
            <w:pPr>
              <w:jc w:val="left"/>
              <w:rPr>
                <w:rFonts w:ascii="宋体" w:hAnsi="宋体" w:eastAsia="宋体" w:cs="Arial"/>
                <w:color w:val="000000"/>
                <w:szCs w:val="21"/>
              </w:rPr>
            </w:pPr>
            <w:r>
              <w:rPr>
                <w:rFonts w:hint="eastAsia" w:ascii="宋体" w:hAnsi="宋体" w:eastAsia="宋体" w:cs="Arial"/>
                <w:color w:val="000000"/>
                <w:szCs w:val="21"/>
              </w:rPr>
              <w:t>招标方提供的企业标准/规范</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bCs/>
                <w:szCs w:val="21"/>
              </w:rPr>
            </w:pPr>
            <w:r>
              <w:rPr>
                <w:rFonts w:hint="eastAsia" w:ascii="宋体" w:hAnsi="宋体" w:eastAsia="宋体"/>
                <w:bCs/>
                <w:szCs w:val="21"/>
              </w:rPr>
              <w:t>/</w:t>
            </w:r>
          </w:p>
        </w:tc>
      </w:tr>
    </w:tbl>
    <w:p>
      <w:pPr>
        <w:rPr>
          <w:rFonts w:ascii="Times New Roman" w:hAnsi="Times New Roman" w:eastAsia="宋体" w:cs="Times New Roman"/>
          <w:szCs w:val="20"/>
        </w:rPr>
        <w:sectPr>
          <w:pgSz w:w="11906" w:h="16838"/>
          <w:pgMar w:top="1588" w:right="1418" w:bottom="1134" w:left="1418" w:header="851" w:footer="992" w:gutter="0"/>
          <w:cols w:space="425" w:num="1"/>
          <w:docGrid w:type="lines" w:linePitch="312" w:charSpace="0"/>
        </w:sect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w:t>
      </w:r>
    </w:p>
    <w:tbl>
      <w:tblPr>
        <w:tblStyle w:val="3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ascii="宋体" w:hAnsi="宋体" w:eastAsia="宋体" w:cs="宋体"/>
                <w:sz w:val="24"/>
              </w:rPr>
            </w:pPr>
            <w:r>
              <w:rPr>
                <w:rFonts w:hint="eastAsia" w:ascii="宋体" w:hAnsi="宋体" w:eastAsia="宋体" w:cs="宋体"/>
                <w:sz w:val="24"/>
              </w:rPr>
              <w:t>1</w:t>
            </w:r>
          </w:p>
        </w:tc>
        <w:tc>
          <w:tcPr>
            <w:tcW w:w="2977" w:type="dxa"/>
            <w:vAlign w:val="center"/>
          </w:tcPr>
          <w:p>
            <w:pPr>
              <w:pStyle w:val="126"/>
              <w:spacing w:before="60" w:after="60" w:line="240" w:lineRule="auto"/>
              <w:rPr>
                <w:rFonts w:ascii="宋体" w:hAnsi="宋体" w:eastAsia="宋体" w:cs="宋体"/>
                <w:sz w:val="24"/>
              </w:rPr>
            </w:pPr>
            <w:r>
              <w:rPr>
                <w:rFonts w:ascii="宋体" w:hAnsi="宋体" w:eastAsia="宋体" w:cs="宋体"/>
                <w:sz w:val="24"/>
                <w:szCs w:val="24"/>
              </w:rPr>
              <w:t>车载CAN/LIN/CANFD网络测试系统</w:t>
            </w:r>
          </w:p>
        </w:tc>
        <w:tc>
          <w:tcPr>
            <w:tcW w:w="992"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1</w:t>
            </w:r>
          </w:p>
        </w:tc>
        <w:tc>
          <w:tcPr>
            <w:tcW w:w="1134"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车载以太网测试系统</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34"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CAN/LIN/CANFD网络测试规范及脚本</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34"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以太网测试规范及脚本</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34"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5</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系统测试台架</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34"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套</w:t>
            </w:r>
          </w:p>
        </w:tc>
        <w:tc>
          <w:tcPr>
            <w:tcW w:w="2835"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eastAsia" w:ascii="宋体" w:hAnsi="宋体" w:eastAsia="宋体" w:cs="宋体"/>
                <w:sz w:val="24"/>
                <w:lang w:val="en-US" w:eastAsia="zh-CN"/>
              </w:rPr>
            </w:pPr>
            <w:r>
              <w:rPr>
                <w:rFonts w:hint="eastAsia" w:ascii="宋体" w:hAnsi="宋体" w:eastAsia="宋体" w:cs="宋体"/>
                <w:sz w:val="24"/>
                <w:lang w:val="en-US" w:eastAsia="zh-CN"/>
              </w:rPr>
              <w:t>6</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培训</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rPr>
              <w:t>/</w:t>
            </w:r>
          </w:p>
        </w:tc>
        <w:tc>
          <w:tcPr>
            <w:tcW w:w="1134"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835" w:type="dxa"/>
            <w:vAlign w:val="center"/>
          </w:tcPr>
          <w:p>
            <w:pPr>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126"/>
              <w:spacing w:before="60" w:after="60" w:line="240" w:lineRule="auto"/>
              <w:jc w:val="center"/>
              <w:rPr>
                <w:rFonts w:hint="default" w:ascii="宋体" w:hAnsi="宋体" w:eastAsia="宋体" w:cs="宋体"/>
                <w:sz w:val="24"/>
                <w:lang w:val="en-US" w:eastAsia="zh-CN"/>
              </w:rPr>
            </w:pPr>
            <w:r>
              <w:rPr>
                <w:rFonts w:hint="eastAsia" w:ascii="宋体" w:hAnsi="宋体" w:eastAsia="宋体" w:cs="宋体"/>
                <w:sz w:val="24"/>
                <w:lang w:val="en-US" w:eastAsia="zh-CN"/>
              </w:rPr>
              <w:t>7</w:t>
            </w:r>
          </w:p>
        </w:tc>
        <w:tc>
          <w:tcPr>
            <w:tcW w:w="2977" w:type="dxa"/>
            <w:vAlign w:val="center"/>
          </w:tcPr>
          <w:p>
            <w:pPr>
              <w:pStyle w:val="126"/>
              <w:spacing w:before="60" w:after="60" w:line="240" w:lineRule="auto"/>
              <w:rPr>
                <w:rFonts w:hint="eastAsia" w:ascii="宋体" w:hAnsi="宋体" w:eastAsia="宋体" w:cs="Times New Roman"/>
                <w:color w:val="000000"/>
                <w:sz w:val="24"/>
              </w:rPr>
            </w:pPr>
            <w:r>
              <w:rPr>
                <w:rFonts w:ascii="宋体" w:hAnsi="宋体" w:eastAsia="宋体" w:cs="宋体"/>
                <w:sz w:val="24"/>
                <w:szCs w:val="24"/>
              </w:rPr>
              <w:t>设备检定</w:t>
            </w:r>
          </w:p>
        </w:tc>
        <w:tc>
          <w:tcPr>
            <w:tcW w:w="992" w:type="dxa"/>
            <w:vAlign w:val="center"/>
          </w:tcPr>
          <w:p>
            <w:pPr>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34" w:type="dxa"/>
            <w:vAlign w:val="center"/>
          </w:tcPr>
          <w:p>
            <w:pPr>
              <w:jc w:val="center"/>
              <w:textAlignment w:val="center"/>
              <w:rPr>
                <w:rFonts w:hint="eastAsia" w:ascii="宋体" w:hAnsi="宋体" w:eastAsia="宋体" w:cs="宋体"/>
                <w:sz w:val="24"/>
                <w:szCs w:val="24"/>
              </w:rPr>
            </w:pPr>
            <w:r>
              <w:rPr>
                <w:rFonts w:ascii="宋体" w:hAnsi="宋体" w:eastAsia="宋体" w:cs="宋体"/>
                <w:sz w:val="24"/>
                <w:szCs w:val="24"/>
              </w:rPr>
              <w:t>次</w:t>
            </w:r>
          </w:p>
        </w:tc>
        <w:tc>
          <w:tcPr>
            <w:tcW w:w="2835" w:type="dxa"/>
            <w:vAlign w:val="center"/>
          </w:tcPr>
          <w:p>
            <w:pPr>
              <w:jc w:val="center"/>
              <w:textAlignment w:val="center"/>
              <w:rPr>
                <w:rFonts w:hint="eastAsia" w:ascii="宋体" w:hAnsi="宋体" w:eastAsia="宋体" w:cs="宋体"/>
                <w:sz w:val="24"/>
                <w:szCs w:val="24"/>
              </w:rPr>
            </w:pPr>
            <w:r>
              <w:rPr>
                <w:rFonts w:ascii="宋体" w:hAnsi="宋体" w:eastAsia="宋体" w:cs="宋体"/>
                <w:sz w:val="24"/>
                <w:szCs w:val="24"/>
              </w:rPr>
              <w:t>出具检定或校准证书</w:t>
            </w:r>
          </w:p>
        </w:tc>
      </w:tr>
    </w:tbl>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r>
        <w:rPr>
          <w:rFonts w:hint="eastAsia" w:ascii="宋体" w:hAnsi="宋体" w:eastAsia="宋体" w:cs="宋体"/>
          <w:color w:val="000000"/>
          <w:sz w:val="24"/>
          <w:szCs w:val="24"/>
        </w:rPr>
        <w:t>。</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w:t>
      </w:r>
      <w:r>
        <w:rPr>
          <w:rFonts w:ascii="宋体" w:hAnsi="宋体" w:eastAsia="宋体" w:cs="宋体"/>
          <w:sz w:val="24"/>
          <w:szCs w:val="24"/>
        </w:rPr>
        <w:t>3</w:t>
      </w:r>
      <w:r>
        <w:rPr>
          <w:rFonts w:hint="eastAsia" w:ascii="宋体" w:hAnsi="宋体" w:eastAsia="宋体" w:cs="宋体"/>
          <w:sz w:val="24"/>
          <w:szCs w:val="24"/>
        </w:rPr>
        <w:t>套，其中</w:t>
      </w:r>
      <w:r>
        <w:rPr>
          <w:rFonts w:ascii="宋体" w:hAnsi="宋体" w:eastAsia="宋体" w:cs="宋体"/>
          <w:sz w:val="24"/>
          <w:szCs w:val="24"/>
        </w:rPr>
        <w:t>1</w:t>
      </w:r>
      <w:r>
        <w:rPr>
          <w:rFonts w:hint="eastAsia" w:ascii="宋体" w:hAnsi="宋体" w:eastAsia="宋体" w:cs="宋体"/>
          <w:sz w:val="24"/>
          <w:szCs w:val="24"/>
        </w:rPr>
        <w:t>套为电子版光盘；每份技术文件应装有目录清单。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r>
        <w:rPr>
          <w:rFonts w:hint="eastAsia" w:ascii="宋体" w:hAnsi="宋体" w:eastAsia="宋体" w:cs="宋体"/>
          <w:color w:val="000000"/>
          <w:sz w:val="24"/>
          <w:szCs w:val="24"/>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Times New Roman" w:hAnsi="Times New Roman" w:eastAsia="宋体" w:cs="Times New Roman"/>
          <w:color w:val="000000"/>
          <w:sz w:val="24"/>
          <w:szCs w:val="20"/>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r>
        <w:rPr>
          <w:rFonts w:hint="eastAsia" w:ascii="宋体" w:hAnsi="宋体" w:eastAsia="宋体" w:cs="宋体"/>
          <w:color w:val="000000"/>
          <w:sz w:val="24"/>
          <w:szCs w:val="24"/>
        </w:rPr>
        <w:t>。</w:t>
      </w: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济南市高新区华奥路777号</w:t>
      </w:r>
      <w:r>
        <w:rPr>
          <w:rFonts w:hint="eastAsia" w:ascii="宋体" w:hAnsi="宋体" w:eastAsia="宋体" w:cs="宋体"/>
          <w:sz w:val="24"/>
          <w:szCs w:val="28"/>
          <w:lang w:eastAsia="zh-CN"/>
        </w:rPr>
        <w:t>中国重汽科技大厦园区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ascii="宋体" w:hAnsi="宋体" w:eastAsia="宋体" w:cs="宋体"/>
          <w:sz w:val="24"/>
          <w:szCs w:val="24"/>
          <w:u w:val="single"/>
        </w:rPr>
        <w:t>180</w:t>
      </w:r>
      <w:r>
        <w:rPr>
          <w:rFonts w:hint="eastAsia" w:ascii="宋体" w:hAnsi="宋体" w:eastAsia="宋体" w:cs="宋体"/>
          <w:sz w:val="24"/>
          <w:szCs w:val="24"/>
        </w:rPr>
        <w:t>个日历日内，中标人须交付设备到招标人指定的安装和使用的现场，并保证整套测试系统正常进入试运行状态。</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shd w:val="clear" w:color="auto" w:fill="FFFFFF"/>
        </w:rPr>
        <w:t>30</w:t>
      </w:r>
      <w:r>
        <w:rPr>
          <w:rFonts w:hint="eastAsia" w:ascii="宋体" w:hAnsi="宋体" w:eastAsia="宋体" w:cs="宋体"/>
          <w:sz w:val="24"/>
          <w:szCs w:val="24"/>
        </w:rPr>
        <w:t>个日历日之内安装调试完毕。</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u w:val="single"/>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color w:val="000000"/>
          <w:sz w:val="24"/>
          <w:szCs w:val="20"/>
        </w:rPr>
      </w:pPr>
      <w:r>
        <w:rPr>
          <w:rFonts w:hint="eastAsia" w:ascii="宋体" w:hAnsi="宋体" w:eastAsia="宋体" w:cs="宋体"/>
          <w:sz w:val="24"/>
          <w:szCs w:val="24"/>
        </w:rPr>
        <w:t>安装调试时间或终验收时间</w:t>
      </w:r>
      <w:r>
        <w:rPr>
          <w:rFonts w:hint="eastAsia" w:ascii="宋体" w:hAnsi="宋体" w:eastAsia="宋体" w:cs="宋体"/>
          <w:sz w:val="24"/>
          <w:szCs w:val="24"/>
          <w:highlight w:val="yellow"/>
        </w:rPr>
        <w:t>超过</w:t>
      </w:r>
      <w:r>
        <w:rPr>
          <w:rFonts w:hint="eastAsia" w:ascii="宋体" w:hAnsi="宋体" w:eastAsia="宋体" w:cs="宋体"/>
          <w:sz w:val="24"/>
          <w:szCs w:val="24"/>
          <w:highlight w:val="yellow"/>
          <w:lang w:val="en-US" w:eastAsia="zh-CN"/>
        </w:rPr>
        <w:t>10天</w:t>
      </w:r>
      <w:r>
        <w:rPr>
          <w:rFonts w:hint="eastAsia" w:ascii="宋体" w:hAnsi="宋体" w:eastAsia="宋体" w:cs="宋体"/>
          <w:sz w:val="24"/>
          <w:szCs w:val="24"/>
          <w:highlight w:val="yellow"/>
        </w:rPr>
        <w:t>的</w:t>
      </w:r>
      <w:r>
        <w:rPr>
          <w:rFonts w:hint="eastAsia" w:ascii="宋体" w:hAnsi="宋体" w:eastAsia="宋体" w:cs="宋体"/>
          <w:sz w:val="24"/>
          <w:szCs w:val="24"/>
        </w:rPr>
        <w:t>，投标人应当随标书提供详细的工期计划</w:t>
      </w:r>
      <w:r>
        <w:rPr>
          <w:rFonts w:hint="eastAsia" w:ascii="宋体" w:hAnsi="宋体" w:eastAsia="宋体" w:cs="宋体"/>
          <w:color w:val="000000"/>
          <w:sz w:val="24"/>
          <w:szCs w:val="20"/>
        </w:rPr>
        <w:t>。</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9.在不受到外界破坏情况下，包装应保证自交货日起一年内货物（或设备）完好无损</w:t>
      </w:r>
      <w:r>
        <w:rPr>
          <w:rFonts w:hint="eastAsia" w:ascii="宋体" w:hAnsi="宋体" w:eastAsia="宋体" w:cs="宋体"/>
          <w:color w:val="000000"/>
          <w:sz w:val="24"/>
          <w:szCs w:val="20"/>
        </w:rPr>
        <w:t>。</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color w:val="000000"/>
          <w:sz w:val="24"/>
          <w:szCs w:val="20"/>
        </w:rPr>
      </w:pPr>
      <w:r>
        <w:rPr>
          <w:rFonts w:hint="eastAsia" w:ascii="宋体" w:hAnsi="宋体" w:eastAsia="宋体" w:cs="宋体"/>
          <w:sz w:val="24"/>
          <w:szCs w:val="24"/>
        </w:rPr>
        <w:t>5.货物（或设备）运抵交货地点后，应负责货物（或设备）的卸货、搬运、保管等事宜，或按照合同约定</w:t>
      </w:r>
      <w:r>
        <w:rPr>
          <w:rFonts w:hint="eastAsia" w:ascii="宋体" w:hAnsi="宋体" w:eastAsia="宋体" w:cs="宋体"/>
          <w:color w:val="000000"/>
          <w:sz w:val="24"/>
          <w:szCs w:val="20"/>
        </w:rPr>
        <w:t>。</w:t>
      </w:r>
    </w:p>
    <w:p>
      <w:pPr>
        <w:adjustRightInd w:val="0"/>
        <w:snapToGrid w:val="0"/>
        <w:spacing w:line="420" w:lineRule="exact"/>
        <w:ind w:firstLine="480" w:firstLineChars="200"/>
        <w:rPr>
          <w:rFonts w:ascii="Times New Roman" w:hAnsi="Times New Roman" w:eastAsia="宋体" w:cs="Times New Roman"/>
          <w:color w:val="000000"/>
          <w:sz w:val="24"/>
          <w:szCs w:val="20"/>
        </w:rPr>
      </w:pPr>
    </w:p>
    <w:p>
      <w:pPr>
        <w:keepNext/>
        <w:keepLines/>
        <w:spacing w:line="360" w:lineRule="auto"/>
        <w:jc w:val="center"/>
        <w:outlineLvl w:val="1"/>
        <w:rPr>
          <w:rFonts w:ascii="宋体" w:hAnsi="宋体" w:eastAsia="宋体" w:cs="宋体"/>
          <w:b/>
          <w:bCs/>
          <w:kern w:val="44"/>
          <w:sz w:val="24"/>
          <w:szCs w:val="24"/>
        </w:rPr>
      </w:pPr>
      <w:r>
        <w:rPr>
          <w:rFonts w:eastAsia="黑体"/>
          <w:bCs/>
          <w:color w:val="000000"/>
          <w:kern w:val="44"/>
          <w:sz w:val="36"/>
          <w:szCs w:val="24"/>
        </w:rPr>
        <w:br w:type="page"/>
      </w:r>
      <w:bookmarkStart w:id="47" w:name="_Toc169605884"/>
      <w:r>
        <w:rPr>
          <w:rFonts w:hint="eastAsia" w:ascii="宋体" w:hAnsi="宋体" w:eastAsia="宋体" w:cs="宋体"/>
          <w:b/>
          <w:bCs/>
          <w:kern w:val="44"/>
          <w:sz w:val="24"/>
          <w:szCs w:val="24"/>
        </w:rPr>
        <w:t>第四章  质保期及售后服务</w:t>
      </w:r>
      <w:bookmarkEnd w:id="47"/>
    </w:p>
    <w:p>
      <w:pPr>
        <w:pStyle w:val="119"/>
        <w:spacing w:line="360" w:lineRule="auto"/>
        <w:rPr>
          <w:rFonts w:ascii="宋体" w:hAnsi="宋体" w:cs="宋体"/>
          <w:color w:val="auto"/>
        </w:rPr>
      </w:pPr>
      <w:r>
        <w:rPr>
          <w:rFonts w:hint="eastAsia" w:ascii="宋体" w:hAnsi="宋体" w:cs="宋体"/>
          <w:color w:val="auto"/>
        </w:rPr>
        <w:t>一、质保期及质保要求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w:t>
      </w:r>
      <w:r>
        <w:rPr>
          <w:rFonts w:hint="eastAsia" w:ascii="宋体" w:hAnsi="宋体" w:eastAsia="宋体" w:cs="宋体"/>
          <w:sz w:val="24"/>
          <w:szCs w:val="24"/>
        </w:rPr>
        <w:t>质保期内免费提供针对本技术条件要求内容范围内的测试脚本开发适配服务。</w:t>
      </w:r>
    </w:p>
    <w:p>
      <w:pPr>
        <w:pStyle w:val="119"/>
        <w:spacing w:line="360" w:lineRule="auto"/>
        <w:rPr>
          <w:rFonts w:ascii="宋体" w:hAnsi="宋体" w:cs="宋体"/>
          <w:color w:val="auto"/>
        </w:rPr>
      </w:pPr>
      <w:r>
        <w:rPr>
          <w:rFonts w:hint="eastAsia" w:ascii="宋体" w:hAnsi="宋体" w:cs="宋体"/>
          <w:color w:val="auto"/>
        </w:rPr>
        <w:t>二、技术及培训服务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培训标准以招标方测试工程师具备根据中标方提供的测试执行手册独立进行测试及分析测试结果的能力、具备根据中标方提供的测试平台独立完成测试脚本开发及适配的能力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2.应免费提供一定数量的培训资料。</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9"/>
        <w:spacing w:line="360" w:lineRule="auto"/>
        <w:rPr>
          <w:rFonts w:ascii="宋体" w:hAnsi="宋体" w:cs="宋体"/>
          <w:color w:val="auto"/>
        </w:rPr>
      </w:pPr>
      <w:r>
        <w:rPr>
          <w:rFonts w:hint="eastAsia" w:ascii="宋体" w:hAnsi="宋体" w:cs="宋体"/>
          <w:color w:val="auto"/>
        </w:rPr>
        <w:t>三、安装调试及验收服务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6.服务缺陷视同货物缺陷和履约延期。</w:t>
      </w:r>
    </w:p>
    <w:p>
      <w:pPr>
        <w:pStyle w:val="119"/>
        <w:spacing w:line="360" w:lineRule="auto"/>
        <w:rPr>
          <w:rFonts w:ascii="宋体" w:hAnsi="宋体" w:cs="宋体"/>
          <w:color w:val="auto"/>
        </w:rPr>
      </w:pPr>
      <w:r>
        <w:rPr>
          <w:rFonts w:hint="eastAsia" w:ascii="宋体" w:hAnsi="宋体" w:cs="宋体"/>
          <w:color w:val="auto"/>
        </w:rPr>
        <w:t>四、售后服务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2.如发现所提供的货物存在问题，需要卖方解决或配合解决时：在质保期之内，应在接到通知后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3.卖方派往买方使用现场的人员，应具有较高的业务素质；现场解决问题时，不得无故拖延或推迟，应为买方提供最佳的服务。</w:t>
      </w:r>
    </w:p>
    <w:p>
      <w:pPr>
        <w:pStyle w:val="119"/>
        <w:spacing w:line="360" w:lineRule="auto"/>
        <w:rPr>
          <w:rFonts w:ascii="宋体" w:hAnsi="宋体" w:cs="宋体"/>
          <w:color w:val="auto"/>
        </w:rPr>
      </w:pPr>
      <w:r>
        <w:rPr>
          <w:rFonts w:hint="eastAsia" w:ascii="宋体" w:hAnsi="宋体" w:cs="宋体"/>
          <w:color w:val="auto"/>
        </w:rPr>
        <w:t>五、其它服务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1.若卖方所提供货物有需要进口的，卖方一般应自行、自费办理。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2"/>
        <w:spacing w:line="360" w:lineRule="auto"/>
        <w:rPr>
          <w:rFonts w:hAnsi="宋体" w:eastAsia="宋体" w:cs="宋体"/>
          <w:sz w:val="24"/>
          <w:szCs w:val="24"/>
        </w:rPr>
      </w:pPr>
      <w:r>
        <w:rPr>
          <w:rFonts w:hint="eastAsia" w:hAnsi="宋体" w:eastAsia="宋体" w:cs="宋体"/>
          <w:sz w:val="24"/>
          <w:szCs w:val="24"/>
        </w:rPr>
        <w:br w:type="page"/>
      </w:r>
    </w:p>
    <w:p>
      <w:pPr>
        <w:keepNext/>
        <w:keepLines/>
        <w:spacing w:line="360" w:lineRule="auto"/>
        <w:jc w:val="center"/>
        <w:outlineLvl w:val="1"/>
        <w:rPr>
          <w:rFonts w:ascii="宋体" w:hAnsi="宋体" w:eastAsia="宋体" w:cs="宋体"/>
          <w:b/>
          <w:bCs/>
          <w:kern w:val="44"/>
          <w:sz w:val="24"/>
          <w:szCs w:val="24"/>
        </w:rPr>
      </w:pPr>
      <w:bookmarkStart w:id="48" w:name="_Toc465187646"/>
      <w:r>
        <w:rPr>
          <w:rFonts w:hint="eastAsia" w:ascii="宋体" w:hAnsi="宋体" w:eastAsia="宋体" w:cs="宋体"/>
          <w:b/>
          <w:bCs/>
          <w:kern w:val="44"/>
          <w:sz w:val="24"/>
          <w:szCs w:val="24"/>
        </w:rPr>
        <w:t>第五章  预验收和终验收</w:t>
      </w:r>
      <w:bookmarkEnd w:id="48"/>
    </w:p>
    <w:p>
      <w:pPr>
        <w:pStyle w:val="119"/>
        <w:spacing w:line="360" w:lineRule="auto"/>
        <w:rPr>
          <w:rFonts w:ascii="宋体" w:hAnsi="宋体" w:cs="宋体"/>
          <w:color w:val="auto"/>
        </w:rPr>
      </w:pPr>
      <w:r>
        <w:rPr>
          <w:rFonts w:hint="eastAsia" w:ascii="宋体" w:hAnsi="宋体" w:cs="宋体"/>
          <w:color w:val="auto"/>
        </w:rPr>
        <w:t>一、验收依据和验收标准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pStyle w:val="119"/>
        <w:spacing w:line="360" w:lineRule="auto"/>
        <w:rPr>
          <w:rFonts w:ascii="宋体" w:hAnsi="宋体" w:cs="宋体"/>
          <w:color w:val="auto"/>
        </w:rPr>
      </w:pPr>
      <w:r>
        <w:rPr>
          <w:rFonts w:hint="eastAsia" w:ascii="宋体" w:hAnsi="宋体" w:cs="宋体"/>
          <w:color w:val="auto"/>
        </w:rPr>
        <w:t>二、检验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9"/>
        <w:spacing w:line="360" w:lineRule="auto"/>
        <w:rPr>
          <w:rFonts w:ascii="宋体" w:hAnsi="宋体" w:cs="宋体"/>
          <w:color w:val="auto"/>
        </w:rPr>
      </w:pPr>
      <w:r>
        <w:rPr>
          <w:rFonts w:hint="eastAsia" w:ascii="宋体" w:hAnsi="宋体" w:cs="宋体"/>
          <w:color w:val="auto"/>
        </w:rPr>
        <w:t>三、验收基本条件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验收一般分预验收和终验收两部分。买方在设备集成现场进行预验收，验收地交通（中国济南至验收地往返）、食宿由买方自理。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1.预验收基本要求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1.4 货物标牌完整、清晰、明确。</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1.5</w:t>
      </w:r>
      <w:r>
        <w:rPr>
          <w:rFonts w:ascii="宋体" w:hAnsi="宋体" w:eastAsia="宋体" w:cs="宋体"/>
          <w:sz w:val="24"/>
          <w:szCs w:val="24"/>
        </w:rPr>
        <w:t xml:space="preserve"> </w:t>
      </w:r>
      <w:r>
        <w:rPr>
          <w:rFonts w:hint="eastAsia" w:ascii="宋体" w:hAnsi="宋体"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 xml:space="preserve">.6 </w:t>
      </w:r>
      <w:r>
        <w:rPr>
          <w:rFonts w:hint="eastAsia" w:ascii="宋体" w:hAnsi="宋体" w:eastAsia="宋体" w:cs="宋体"/>
          <w:sz w:val="24"/>
          <w:szCs w:val="24"/>
        </w:rPr>
        <w:t>系统设备品牌、型号、数量与合同约定内容一致；各设备资料齐全，完整有效。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.7</w:t>
      </w:r>
      <w:r>
        <w:rPr>
          <w:rFonts w:hint="eastAsia" w:ascii="宋体" w:hAnsi="宋体" w:eastAsia="宋体" w:cs="宋体"/>
          <w:sz w:val="24"/>
          <w:szCs w:val="24"/>
        </w:rPr>
        <w:t xml:space="preserve"> 按约定技术方案对设备进行系统设计及原理、测试软件执行及脚本开发的讲解及培训。</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设备已完成硬件与软件系统的整体功能测试与调试，且功能正常。</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通过了</w:t>
      </w:r>
      <w:r>
        <w:rPr>
          <w:rFonts w:ascii="宋体" w:hAnsi="宋体" w:eastAsia="宋体" w:cs="宋体"/>
          <w:sz w:val="24"/>
          <w:szCs w:val="24"/>
        </w:rPr>
        <w:t>预验收而且没有出现新的质量问题，或者满足预验收条款。</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2.3货物安装调试完毕，并至少经过了验收要求的负荷试运行。</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2.4货物正常运行时，噪声等环境影响因素满足国家和当地环保主管部门规定，安全措施落实、有效。</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2.5计量仪器、仪表配套合理，采用中国的法定计量单位，计量准确、灵敏可靠。保证设计指标和仪器说明书的参数的实现。</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2.6试运行期间或之后无维修、调整等行为（特殊情况除外）。</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t>2.7货物质量、技术性能等，达到签定的技术协议书和合同规定的终验收标准。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8</w:t>
      </w:r>
      <w:r>
        <w:rPr>
          <w:rFonts w:hint="eastAsia" w:ascii="宋体" w:hAnsi="宋体" w:eastAsia="宋体" w:cs="宋体"/>
          <w:sz w:val="24"/>
          <w:szCs w:val="24"/>
        </w:rPr>
        <w:t>首次计量由乙方负责，由省级或以上的计量机构计量，按照系统约束的性能指标进行计量检定，合格后方可进行终验收。</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终验收技术要求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.1设备安装调试完成后，再需要经过一个考核期的</w:t>
      </w:r>
      <w:r>
        <w:rPr>
          <w:rFonts w:hint="eastAsia" w:ascii="宋体" w:hAnsi="宋体" w:eastAsia="宋体" w:cs="宋体"/>
          <w:sz w:val="24"/>
          <w:szCs w:val="24"/>
        </w:rPr>
        <w:t>运行测试使用</w:t>
      </w:r>
      <w:r>
        <w:rPr>
          <w:rFonts w:ascii="宋体" w:hAnsi="宋体" w:eastAsia="宋体" w:cs="宋体"/>
          <w:sz w:val="24"/>
          <w:szCs w:val="24"/>
        </w:rPr>
        <w:t>，考核整个系统的</w:t>
      </w:r>
      <w:r>
        <w:rPr>
          <w:rFonts w:hint="eastAsia" w:ascii="宋体" w:hAnsi="宋体" w:eastAsia="宋体" w:cs="宋体"/>
          <w:sz w:val="24"/>
          <w:szCs w:val="24"/>
        </w:rPr>
        <w:t>软硬件的</w:t>
      </w:r>
      <w:r>
        <w:rPr>
          <w:rFonts w:ascii="宋体" w:hAnsi="宋体" w:eastAsia="宋体" w:cs="宋体"/>
          <w:sz w:val="24"/>
          <w:szCs w:val="24"/>
        </w:rPr>
        <w:t>可靠性</w:t>
      </w:r>
      <w:r>
        <w:rPr>
          <w:rFonts w:hint="eastAsia" w:ascii="宋体" w:hAnsi="宋体" w:eastAsia="宋体" w:cs="宋体"/>
          <w:sz w:val="24"/>
          <w:szCs w:val="24"/>
        </w:rPr>
        <w:t>、测试脚本的可靠性。</w:t>
      </w:r>
      <w:r>
        <w:rPr>
          <w:rFonts w:ascii="宋体" w:hAnsi="宋体" w:eastAsia="宋体" w:cs="宋体"/>
          <w:sz w:val="24"/>
          <w:szCs w:val="24"/>
        </w:rPr>
        <w:t>考核期不少于30个工作日，考核期间不得出现影响设备使用性能的重要故障或重要部件损坏，</w:t>
      </w:r>
      <w:r>
        <w:rPr>
          <w:rFonts w:hint="eastAsia" w:ascii="宋体" w:hAnsi="宋体" w:eastAsia="宋体" w:cs="宋体"/>
          <w:sz w:val="24"/>
          <w:szCs w:val="24"/>
        </w:rPr>
        <w:t>测试脚本执行不得出现bug，</w:t>
      </w:r>
      <w:r>
        <w:rPr>
          <w:rFonts w:ascii="宋体" w:hAnsi="宋体" w:eastAsia="宋体" w:cs="宋体"/>
          <w:sz w:val="24"/>
          <w:szCs w:val="24"/>
        </w:rPr>
        <w:t>考核期满足要求后进行最终验收</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3.2由买方和卖方共同组织设备的终验收，所提供测试系统设备必须满足本技术协议</w:t>
      </w:r>
      <w:r>
        <w:rPr>
          <w:rFonts w:hint="eastAsia" w:ascii="宋体" w:hAnsi="宋体" w:eastAsia="宋体" w:cs="宋体"/>
          <w:sz w:val="24"/>
          <w:szCs w:val="24"/>
        </w:rPr>
        <w:t>及合同约定的</w:t>
      </w:r>
      <w:r>
        <w:rPr>
          <w:rFonts w:ascii="宋体" w:hAnsi="宋体" w:eastAsia="宋体" w:cs="宋体"/>
          <w:sz w:val="24"/>
          <w:szCs w:val="24"/>
        </w:rPr>
        <w:t>全部技术要求，验收内容应包含但不仅限于以下内容：</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w:t>
      </w:r>
      <w:r>
        <w:rPr>
          <w:rFonts w:hint="eastAsia" w:ascii="宋体" w:hAnsi="宋体" w:eastAsia="宋体" w:cs="Times New Roman"/>
          <w:sz w:val="24"/>
          <w:szCs w:val="24"/>
        </w:rPr>
        <w:t>CAN/LIN/CANFD网络测试脚本测试执行</w:t>
      </w:r>
      <w:r>
        <w:rPr>
          <w:rFonts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）以太网测试脚本测试执行；</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w:t>
      </w:r>
      <w:r>
        <w:rPr>
          <w:rFonts w:hint="eastAsia" w:ascii="宋体" w:hAnsi="宋体" w:eastAsia="宋体" w:cs="Times New Roman"/>
          <w:sz w:val="24"/>
          <w:szCs w:val="24"/>
        </w:rPr>
        <w:t>CAN/LIN/CANFD网络测试系统脚本开发环境测试；</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）以太网测试脚本开发环境测试；</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5）测试用例测试规范的完整度和覆盖度。</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3.3由买方和卖方共同编制终验收报告并签字确认；</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3.4终验收期间，卖方自行负责交通、食宿、保险等费用；</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3.5最终验收以双方签订的合同和条件为准，逐项进行最终验收；</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3.6对于终验收买方提出的问题，卖方应在15个工作日内完成整改。</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3.7终验收通过后买卖双方共同签署终验收报告，并移交、核对全部供货范围内物品。</w:t>
      </w:r>
    </w:p>
    <w:p>
      <w:pPr>
        <w:adjustRightInd w:val="0"/>
        <w:snapToGrid w:val="0"/>
        <w:spacing w:line="360" w:lineRule="auto"/>
        <w:rPr>
          <w:rFonts w:ascii="宋体" w:hAnsi="宋体" w:eastAsia="宋体" w:cs="宋体"/>
          <w:sz w:val="24"/>
          <w:szCs w:val="24"/>
        </w:rPr>
      </w:pPr>
    </w:p>
    <w:p>
      <w:pPr>
        <w:pStyle w:val="2"/>
        <w:spacing w:line="360" w:lineRule="auto"/>
        <w:rPr>
          <w:rFonts w:hAnsi="宋体" w:eastAsia="宋体" w:cs="宋体"/>
          <w:sz w:val="24"/>
          <w:szCs w:val="24"/>
        </w:rPr>
      </w:pPr>
    </w:p>
    <w:p>
      <w:pPr>
        <w:pStyle w:val="132"/>
        <w:spacing w:line="360" w:lineRule="auto"/>
        <w:outlineLvl w:val="1"/>
        <w:rPr>
          <w:rFonts w:ascii="宋体" w:hAnsi="宋体" w:eastAsia="宋体" w:cs="宋体"/>
          <w:b/>
          <w:bCs w:val="0"/>
          <w:iCs/>
          <w:color w:val="auto"/>
          <w:sz w:val="24"/>
        </w:rPr>
      </w:pPr>
      <w:bookmarkStart w:id="49" w:name="_Toc465187647"/>
      <w:bookmarkStart w:id="50" w:name="_Toc30824"/>
      <w:bookmarkStart w:id="51" w:name="_Toc131008493"/>
      <w:r>
        <w:rPr>
          <w:rFonts w:hint="eastAsia" w:ascii="宋体" w:hAnsi="宋体" w:eastAsia="宋体" w:cs="宋体"/>
          <w:b/>
          <w:bCs w:val="0"/>
          <w:iCs/>
          <w:color w:val="auto"/>
          <w:sz w:val="24"/>
        </w:rPr>
        <w:t>第六章  投标技术文件一般要求</w:t>
      </w:r>
      <w:bookmarkEnd w:id="49"/>
      <w:bookmarkEnd w:id="50"/>
      <w:bookmarkEnd w:id="51"/>
    </w:p>
    <w:p>
      <w:pPr>
        <w:pStyle w:val="119"/>
        <w:spacing w:line="360" w:lineRule="auto"/>
        <w:rPr>
          <w:rFonts w:ascii="宋体" w:hAnsi="宋体" w:cs="宋体"/>
          <w:color w:val="auto"/>
        </w:rPr>
      </w:pPr>
      <w:r>
        <w:rPr>
          <w:rFonts w:hint="eastAsia" w:ascii="宋体" w:hAnsi="宋体" w:cs="宋体"/>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37"/>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center"/>
          </w:tcPr>
          <w:p>
            <w:pPr>
              <w:adjustRightInd w:val="0"/>
              <w:snapToGrid w:val="0"/>
              <w:jc w:val="center"/>
              <w:rPr>
                <w:rFonts w:ascii="宋体" w:hAnsi="宋体" w:eastAsia="宋体" w:cs="宋体"/>
              </w:rPr>
            </w:pPr>
            <w:r>
              <w:rPr>
                <w:rFonts w:hint="eastAsia" w:ascii="宋体" w:hAnsi="宋体" w:eastAsia="宋体" w:cs="宋体"/>
              </w:rPr>
              <w:t>序号</w:t>
            </w:r>
          </w:p>
        </w:tc>
        <w:tc>
          <w:tcPr>
            <w:tcW w:w="1924" w:type="dxa"/>
            <w:vAlign w:val="center"/>
          </w:tcPr>
          <w:p>
            <w:pPr>
              <w:adjustRightInd w:val="0"/>
              <w:snapToGrid w:val="0"/>
              <w:jc w:val="center"/>
              <w:rPr>
                <w:rFonts w:ascii="宋体" w:hAnsi="宋体" w:eastAsia="宋体" w:cs="宋体"/>
              </w:rPr>
            </w:pPr>
            <w:r>
              <w:rPr>
                <w:rFonts w:hint="eastAsia" w:ascii="宋体" w:hAnsi="宋体" w:eastAsia="宋体" w:cs="宋体"/>
              </w:rPr>
              <w:t>名称</w:t>
            </w:r>
          </w:p>
        </w:tc>
        <w:tc>
          <w:tcPr>
            <w:tcW w:w="1236" w:type="dxa"/>
            <w:vAlign w:val="center"/>
          </w:tcPr>
          <w:p>
            <w:pPr>
              <w:adjustRightInd w:val="0"/>
              <w:snapToGrid w:val="0"/>
              <w:jc w:val="center"/>
              <w:rPr>
                <w:rFonts w:ascii="宋体" w:hAnsi="宋体" w:eastAsia="宋体" w:cs="宋体"/>
              </w:rPr>
            </w:pPr>
            <w:r>
              <w:rPr>
                <w:rFonts w:hint="eastAsia" w:ascii="宋体" w:hAnsi="宋体" w:eastAsia="宋体" w:cs="宋体"/>
              </w:rPr>
              <w:t>型号规格</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单位</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数量</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单价</w:t>
            </w:r>
          </w:p>
        </w:tc>
        <w:tc>
          <w:tcPr>
            <w:tcW w:w="720" w:type="dxa"/>
            <w:vAlign w:val="center"/>
          </w:tcPr>
          <w:p>
            <w:pPr>
              <w:adjustRightInd w:val="0"/>
              <w:snapToGrid w:val="0"/>
              <w:jc w:val="center"/>
              <w:rPr>
                <w:rFonts w:ascii="宋体" w:hAnsi="宋体" w:eastAsia="宋体" w:cs="宋体"/>
              </w:rPr>
            </w:pPr>
            <w:r>
              <w:rPr>
                <w:rFonts w:hint="eastAsia" w:ascii="宋体" w:hAnsi="宋体" w:eastAsia="宋体" w:cs="宋体"/>
              </w:rPr>
              <w:t>总价</w:t>
            </w:r>
          </w:p>
        </w:tc>
        <w:tc>
          <w:tcPr>
            <w:tcW w:w="2235" w:type="dxa"/>
            <w:vAlign w:val="center"/>
          </w:tcPr>
          <w:p>
            <w:pPr>
              <w:adjustRightInd w:val="0"/>
              <w:snapToGrid w:val="0"/>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eastAsia="宋体" w:cs="宋体"/>
              </w:rPr>
            </w:pPr>
          </w:p>
        </w:tc>
        <w:tc>
          <w:tcPr>
            <w:tcW w:w="1924" w:type="dxa"/>
          </w:tcPr>
          <w:p>
            <w:pPr>
              <w:adjustRightInd w:val="0"/>
              <w:snapToGrid w:val="0"/>
              <w:rPr>
                <w:rFonts w:ascii="宋体" w:hAnsi="宋体" w:eastAsia="宋体" w:cs="宋体"/>
              </w:rPr>
            </w:pPr>
          </w:p>
        </w:tc>
        <w:tc>
          <w:tcPr>
            <w:tcW w:w="1236" w:type="dxa"/>
          </w:tcPr>
          <w:p>
            <w:pPr>
              <w:adjustRightInd w:val="0"/>
              <w:snapToGrid w:val="0"/>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720" w:type="dxa"/>
          </w:tcPr>
          <w:p>
            <w:pPr>
              <w:adjustRightInd w:val="0"/>
              <w:snapToGrid w:val="0"/>
              <w:jc w:val="center"/>
              <w:rPr>
                <w:rFonts w:ascii="宋体" w:hAnsi="宋体" w:eastAsia="宋体" w:cs="宋体"/>
              </w:rPr>
            </w:pPr>
          </w:p>
        </w:tc>
        <w:tc>
          <w:tcPr>
            <w:tcW w:w="2235" w:type="dxa"/>
          </w:tcPr>
          <w:p>
            <w:pPr>
              <w:adjustRightInd w:val="0"/>
              <w:snapToGrid w:val="0"/>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9"/>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9"/>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bookmarkStart w:id="52" w:name="_Toc465187648"/>
    </w:p>
    <w:p>
      <w:pPr>
        <w:pStyle w:val="132"/>
        <w:spacing w:line="360" w:lineRule="auto"/>
        <w:outlineLvl w:val="1"/>
        <w:rPr>
          <w:rFonts w:ascii="宋体" w:hAnsi="宋体" w:eastAsia="宋体" w:cs="宋体"/>
          <w:b/>
          <w:bCs w:val="0"/>
          <w:iCs/>
          <w:color w:val="auto"/>
          <w:sz w:val="24"/>
        </w:rPr>
      </w:pPr>
      <w:bookmarkStart w:id="53" w:name="_Toc19570"/>
      <w:bookmarkStart w:id="54" w:name="_Toc131008494"/>
      <w:r>
        <w:rPr>
          <w:rFonts w:hint="eastAsia" w:ascii="宋体" w:hAnsi="宋体" w:eastAsia="宋体" w:cs="宋体"/>
          <w:b/>
          <w:bCs w:val="0"/>
          <w:iCs/>
          <w:color w:val="auto"/>
          <w:sz w:val="24"/>
        </w:rPr>
        <w:t>第七章  其它要求及说明</w:t>
      </w:r>
      <w:bookmarkEnd w:id="52"/>
      <w:bookmarkEnd w:id="53"/>
      <w:bookmarkEnd w:id="54"/>
    </w:p>
    <w:p>
      <w:pPr>
        <w:pStyle w:val="119"/>
        <w:spacing w:line="360" w:lineRule="auto"/>
        <w:rPr>
          <w:rFonts w:ascii="宋体" w:hAnsi="宋体" w:cs="宋体"/>
          <w:color w:val="auto"/>
        </w:rPr>
      </w:pPr>
      <w:r>
        <w:rPr>
          <w:rFonts w:hint="eastAsia" w:ascii="宋体" w:hAnsi="宋体" w:cs="宋体"/>
          <w:color w:val="auto"/>
        </w:rPr>
        <w:t>一、要求</w:t>
      </w:r>
    </w:p>
    <w:p>
      <w:pPr>
        <w:pStyle w:val="21"/>
        <w:spacing w:line="360" w:lineRule="auto"/>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9"/>
        <w:spacing w:line="360" w:lineRule="auto"/>
        <w:rPr>
          <w:rFonts w:ascii="宋体" w:hAnsi="宋体" w:cs="宋体"/>
          <w:color w:val="auto"/>
        </w:rPr>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r>
        <w:rPr>
          <w:rFonts w:hint="eastAsia" w:ascii="宋体" w:hAnsi="宋体" w:eastAsia="宋体" w:cs="宋体"/>
          <w:color w:val="000000"/>
          <w:sz w:val="24"/>
          <w:szCs w:val="24"/>
        </w:rPr>
        <w:t>。</w:t>
      </w:r>
    </w:p>
    <w:p>
      <w:pPr>
        <w:pStyle w:val="2"/>
        <w:spacing w:line="360" w:lineRule="auto"/>
        <w:rPr>
          <w:rFonts w:hAnsi="宋体" w:eastAsia="宋体" w:cs="宋体"/>
          <w:sz w:val="24"/>
          <w:szCs w:val="24"/>
        </w:rPr>
        <w:sectPr>
          <w:footerReference r:id="rId13" w:type="first"/>
          <w:footerReference r:id="rId12" w:type="default"/>
          <w:pgSz w:w="11907" w:h="16840"/>
          <w:pgMar w:top="1304" w:right="1418" w:bottom="1304" w:left="1418" w:header="724" w:footer="851" w:gutter="0"/>
          <w:cols w:space="720" w:num="1"/>
          <w:docGrid w:linePitch="290" w:charSpace="-3931"/>
        </w:sectPr>
      </w:pPr>
    </w:p>
    <w:bookmarkEnd w:id="33"/>
    <w:p>
      <w:pPr>
        <w:pStyle w:val="2"/>
        <w:rPr>
          <w:rFonts w:hint="eastAsia"/>
        </w:rPr>
      </w:pPr>
    </w:p>
    <w:p>
      <w:pPr>
        <w:spacing w:line="360" w:lineRule="auto"/>
        <w:jc w:val="center"/>
        <w:outlineLvl w:val="0"/>
        <w:rPr>
          <w:rFonts w:ascii="宋体" w:hAnsi="Calibri" w:eastAsia="宋体" w:cs="Times New Roman"/>
          <w:b/>
          <w:sz w:val="36"/>
          <w:szCs w:val="36"/>
        </w:rPr>
      </w:pPr>
      <w:bookmarkStart w:id="55" w:name="_Toc28486"/>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55"/>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footerReference r:id="rId14" w:type="default"/>
          <w:pgSz w:w="11907" w:h="16840"/>
          <w:pgMar w:top="1304" w:right="1418" w:bottom="1304" w:left="1418" w:header="724" w:footer="851" w:gutter="0"/>
          <w:pgNumType w:fmt="decimal"/>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56" w:name="_Toc16330018"/>
      <w:bookmarkStart w:id="57" w:name="_Toc17619"/>
      <w:bookmarkStart w:id="58" w:name="_Toc9465"/>
      <w:bookmarkStart w:id="59" w:name="_Toc11823"/>
      <w:bookmarkStart w:id="60" w:name="_Toc11930"/>
      <w:r>
        <w:rPr>
          <w:rFonts w:hint="eastAsia" w:ascii="黑体" w:hAnsi="黑体" w:eastAsia="黑体" w:cstheme="minorEastAsia"/>
          <w:b w:val="0"/>
          <w:sz w:val="28"/>
          <w:szCs w:val="28"/>
        </w:rPr>
        <w:t>1 合同设备</w:t>
      </w:r>
      <w:bookmarkEnd w:id="56"/>
      <w:bookmarkEnd w:id="57"/>
      <w:bookmarkEnd w:id="58"/>
      <w:bookmarkEnd w:id="59"/>
      <w:bookmarkEnd w:id="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61" w:name="_Toc22800"/>
      <w:bookmarkStart w:id="62" w:name="_Toc29026"/>
      <w:bookmarkStart w:id="63"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4" w:name="_Toc16330019"/>
      <w:bookmarkStart w:id="65" w:name="_Toc7716"/>
      <w:r>
        <w:rPr>
          <w:rFonts w:hint="eastAsia" w:ascii="黑体" w:hAnsi="黑体" w:eastAsia="黑体" w:cstheme="minorEastAsia"/>
          <w:b w:val="0"/>
          <w:sz w:val="28"/>
          <w:szCs w:val="28"/>
        </w:rPr>
        <w:t>2 包装</w:t>
      </w:r>
      <w:bookmarkEnd w:id="61"/>
      <w:bookmarkEnd w:id="62"/>
      <w:bookmarkEnd w:id="63"/>
      <w:bookmarkEnd w:id="64"/>
      <w:bookmarkEnd w:id="6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66" w:name="_Toc16330020"/>
      <w:bookmarkStart w:id="67" w:name="_Toc2833"/>
      <w:bookmarkStart w:id="68" w:name="_Toc27453"/>
      <w:bookmarkStart w:id="69" w:name="_Toc30507"/>
      <w:bookmarkStart w:id="70" w:name="_Toc27144"/>
      <w:r>
        <w:rPr>
          <w:rFonts w:hint="eastAsia" w:ascii="黑体" w:hAnsi="黑体" w:eastAsia="黑体" w:cstheme="minorEastAsia"/>
          <w:b w:val="0"/>
          <w:sz w:val="28"/>
          <w:szCs w:val="28"/>
        </w:rPr>
        <w:t>3 运输标记</w:t>
      </w:r>
      <w:bookmarkEnd w:id="66"/>
      <w:bookmarkEnd w:id="67"/>
      <w:bookmarkEnd w:id="68"/>
      <w:bookmarkEnd w:id="69"/>
      <w:bookmarkEnd w:id="7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1" w:name="_Toc16133"/>
      <w:bookmarkStart w:id="72" w:name="_Toc8624"/>
      <w:bookmarkStart w:id="73" w:name="_Toc16330021"/>
      <w:bookmarkStart w:id="74" w:name="_Toc7431"/>
      <w:bookmarkStart w:id="75" w:name="_Toc10630"/>
      <w:r>
        <w:rPr>
          <w:rFonts w:hint="eastAsia" w:ascii="黑体" w:hAnsi="黑体" w:eastAsia="黑体" w:cstheme="minorEastAsia"/>
          <w:b w:val="0"/>
          <w:sz w:val="28"/>
          <w:szCs w:val="28"/>
        </w:rPr>
        <w:t>4 检验</w:t>
      </w:r>
      <w:bookmarkEnd w:id="71"/>
      <w:bookmarkEnd w:id="72"/>
      <w:bookmarkEnd w:id="73"/>
      <w:bookmarkEnd w:id="74"/>
      <w:bookmarkEnd w:id="7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76" w:name="_Toc14275"/>
      <w:bookmarkStart w:id="77" w:name="_Toc24467"/>
      <w:bookmarkStart w:id="78" w:name="_Toc11217"/>
      <w:bookmarkStart w:id="79" w:name="_Toc16330022"/>
      <w:bookmarkStart w:id="80" w:name="_Toc19850"/>
      <w:r>
        <w:rPr>
          <w:rFonts w:hint="eastAsia" w:ascii="黑体" w:hAnsi="黑体" w:eastAsia="黑体" w:cstheme="minorEastAsia"/>
          <w:b w:val="0"/>
          <w:sz w:val="28"/>
          <w:szCs w:val="28"/>
        </w:rPr>
        <w:t>5 权利担保</w:t>
      </w:r>
      <w:bookmarkEnd w:id="76"/>
      <w:bookmarkEnd w:id="77"/>
      <w:bookmarkEnd w:id="78"/>
      <w:bookmarkEnd w:id="79"/>
      <w:bookmarkEnd w:id="8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1" w:name="_Toc20827"/>
      <w:bookmarkStart w:id="82" w:name="_Toc14809"/>
      <w:bookmarkStart w:id="83" w:name="_Toc16330023"/>
      <w:bookmarkStart w:id="84" w:name="_Toc11759"/>
      <w:bookmarkStart w:id="85" w:name="_Toc27500"/>
      <w:r>
        <w:rPr>
          <w:rFonts w:hint="eastAsia" w:ascii="黑体" w:hAnsi="黑体" w:eastAsia="黑体" w:cstheme="minorEastAsia"/>
          <w:b w:val="0"/>
          <w:sz w:val="28"/>
          <w:szCs w:val="28"/>
        </w:rPr>
        <w:t>6 交货</w:t>
      </w:r>
      <w:bookmarkEnd w:id="81"/>
      <w:bookmarkEnd w:id="82"/>
      <w:bookmarkEnd w:id="83"/>
      <w:bookmarkEnd w:id="84"/>
      <w:bookmarkEnd w:id="8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86" w:name="_Toc16330024"/>
      <w:bookmarkStart w:id="87" w:name="_Toc2984"/>
      <w:bookmarkStart w:id="88" w:name="_Toc25510"/>
      <w:bookmarkStart w:id="89" w:name="_Toc8024"/>
      <w:bookmarkStart w:id="90" w:name="_Toc23308"/>
      <w:r>
        <w:rPr>
          <w:rFonts w:hint="eastAsia" w:ascii="黑体" w:hAnsi="黑体" w:eastAsia="黑体" w:cstheme="minorEastAsia"/>
          <w:b w:val="0"/>
          <w:sz w:val="28"/>
          <w:szCs w:val="28"/>
        </w:rPr>
        <w:t>7 安装、调试</w:t>
      </w:r>
      <w:bookmarkEnd w:id="86"/>
      <w:bookmarkEnd w:id="87"/>
      <w:bookmarkEnd w:id="88"/>
      <w:bookmarkEnd w:id="89"/>
      <w:bookmarkEnd w:id="90"/>
    </w:p>
    <w:p>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1" w:name="_Toc14260"/>
      <w:bookmarkStart w:id="92" w:name="_Toc14098"/>
      <w:bookmarkStart w:id="93" w:name="_Toc6350"/>
      <w:bookmarkStart w:id="94" w:name="_Toc16330025"/>
      <w:bookmarkStart w:id="95" w:name="_Toc15547"/>
      <w:r>
        <w:rPr>
          <w:rFonts w:hint="eastAsia" w:ascii="黑体" w:hAnsi="黑体" w:eastAsia="黑体" w:cstheme="minorEastAsia"/>
          <w:b w:val="0"/>
          <w:sz w:val="28"/>
          <w:szCs w:val="28"/>
        </w:rPr>
        <w:t>8 价款与支付</w:t>
      </w:r>
      <w:bookmarkEnd w:id="91"/>
      <w:bookmarkEnd w:id="92"/>
      <w:bookmarkEnd w:id="93"/>
      <w:bookmarkEnd w:id="94"/>
      <w:bookmarkEnd w:id="9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96" w:name="_Toc14531628"/>
      <w:bookmarkStart w:id="97" w:name="_Toc14676804"/>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96"/>
      <w:bookmarkEnd w:id="97"/>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98" w:name="_Toc24085"/>
      <w:bookmarkStart w:id="99" w:name="_Toc16330026"/>
      <w:bookmarkStart w:id="100" w:name="_Toc21726"/>
      <w:bookmarkStart w:id="101" w:name="_Toc25708"/>
      <w:bookmarkStart w:id="102" w:name="_Toc6726"/>
      <w:r>
        <w:rPr>
          <w:rFonts w:hint="eastAsia" w:ascii="黑体" w:hAnsi="黑体" w:eastAsia="黑体" w:cstheme="minorEastAsia"/>
          <w:b w:val="0"/>
          <w:sz w:val="28"/>
          <w:szCs w:val="28"/>
        </w:rPr>
        <w:t>9 质量保证及售后服务</w:t>
      </w:r>
      <w:bookmarkEnd w:id="98"/>
      <w:bookmarkEnd w:id="99"/>
      <w:bookmarkEnd w:id="100"/>
      <w:bookmarkEnd w:id="101"/>
      <w:bookmarkEnd w:id="10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3" w:name="_Toc15570"/>
      <w:bookmarkStart w:id="104" w:name="_Toc12927"/>
      <w:bookmarkStart w:id="105" w:name="_Toc26769"/>
      <w:bookmarkStart w:id="106" w:name="_Toc16330027"/>
      <w:bookmarkStart w:id="107" w:name="_Toc10359"/>
      <w:r>
        <w:rPr>
          <w:rFonts w:hint="eastAsia" w:ascii="黑体" w:hAnsi="黑体" w:eastAsia="黑体" w:cstheme="minorEastAsia"/>
          <w:b w:val="0"/>
          <w:sz w:val="28"/>
          <w:szCs w:val="28"/>
        </w:rPr>
        <w:t>10法定责任</w:t>
      </w:r>
      <w:bookmarkEnd w:id="103"/>
      <w:bookmarkEnd w:id="104"/>
      <w:bookmarkEnd w:id="105"/>
      <w:bookmarkEnd w:id="106"/>
      <w:bookmarkEnd w:id="10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08" w:name="_Toc16330028"/>
      <w:bookmarkStart w:id="109" w:name="_Toc27314"/>
      <w:bookmarkStart w:id="110" w:name="_Toc7698"/>
      <w:bookmarkStart w:id="111" w:name="_Toc30381"/>
      <w:bookmarkStart w:id="112" w:name="_Toc9708"/>
      <w:r>
        <w:rPr>
          <w:rFonts w:hint="eastAsia" w:ascii="黑体" w:hAnsi="黑体" w:eastAsia="黑体" w:cstheme="minorEastAsia"/>
          <w:b w:val="0"/>
          <w:sz w:val="28"/>
          <w:szCs w:val="28"/>
        </w:rPr>
        <w:t>11 违约责任</w:t>
      </w:r>
      <w:bookmarkEnd w:id="108"/>
      <w:bookmarkEnd w:id="109"/>
      <w:bookmarkEnd w:id="110"/>
      <w:bookmarkEnd w:id="111"/>
      <w:bookmarkEnd w:id="11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13" w:name="_Toc31554"/>
      <w:bookmarkStart w:id="114" w:name="_Toc9172"/>
      <w:bookmarkStart w:id="115" w:name="_Toc1827"/>
      <w:bookmarkStart w:id="116" w:name="_Toc16330029"/>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13"/>
    <w:bookmarkEnd w:id="114"/>
    <w:bookmarkEnd w:id="115"/>
    <w:bookmarkEnd w:id="116"/>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7" w:name="_Toc23793"/>
      <w:r>
        <w:rPr>
          <w:rFonts w:hint="eastAsia" w:ascii="黑体" w:hAnsi="黑体" w:eastAsia="黑体" w:cstheme="minorEastAsia"/>
          <w:b w:val="0"/>
          <w:sz w:val="28"/>
          <w:szCs w:val="28"/>
        </w:rPr>
        <w:t>12 合同的终止与解除</w:t>
      </w:r>
      <w:bookmarkEnd w:id="11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18" w:name="_Toc13671"/>
      <w:bookmarkStart w:id="119" w:name="_Toc16330030"/>
      <w:bookmarkStart w:id="120" w:name="_Toc11937"/>
      <w:bookmarkStart w:id="121" w:name="_Toc31945"/>
      <w:bookmarkStart w:id="122" w:name="_Toc8620"/>
      <w:r>
        <w:rPr>
          <w:rFonts w:hint="eastAsia" w:ascii="黑体" w:hAnsi="黑体" w:eastAsia="黑体" w:cstheme="minorEastAsia"/>
          <w:b w:val="0"/>
          <w:sz w:val="28"/>
          <w:szCs w:val="28"/>
        </w:rPr>
        <w:t>13 不可抗力</w:t>
      </w:r>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23" w:name="_Toc16330031"/>
      <w:bookmarkStart w:id="124" w:name="_Toc637"/>
      <w:bookmarkStart w:id="125" w:name="_Toc31243"/>
      <w:bookmarkStart w:id="126" w:name="_Toc30389"/>
      <w:bookmarkStart w:id="127" w:name="_Toc18772"/>
      <w:r>
        <w:rPr>
          <w:rFonts w:hint="eastAsia" w:ascii="黑体" w:hAnsi="黑体" w:eastAsia="黑体" w:cstheme="minorEastAsia"/>
          <w:b w:val="0"/>
          <w:sz w:val="28"/>
          <w:szCs w:val="28"/>
        </w:rPr>
        <w:t>14 通讯</w:t>
      </w:r>
      <w:bookmarkEnd w:id="123"/>
      <w:bookmarkEnd w:id="124"/>
      <w:bookmarkEnd w:id="125"/>
      <w:bookmarkEnd w:id="126"/>
      <w:bookmarkEnd w:id="12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theme="minorEastAsia"/>
          <w:b w:val="0"/>
          <w:sz w:val="28"/>
          <w:szCs w:val="28"/>
        </w:rPr>
      </w:pPr>
      <w:bookmarkStart w:id="128" w:name="_Toc9915"/>
      <w:bookmarkStart w:id="129" w:name="_Toc12984"/>
      <w:bookmarkStart w:id="130" w:name="_Toc23011"/>
      <w:bookmarkStart w:id="131" w:name="_Toc11290"/>
      <w:bookmarkStart w:id="132" w:name="_Toc16330032"/>
      <w:r>
        <w:rPr>
          <w:rFonts w:hint="eastAsia" w:ascii="黑体" w:hAnsi="黑体" w:eastAsia="黑体" w:cstheme="minorEastAsia"/>
          <w:b w:val="0"/>
          <w:sz w:val="28"/>
          <w:szCs w:val="28"/>
        </w:rPr>
        <w:t>15 适用法律及争议解决</w:t>
      </w:r>
      <w:bookmarkEnd w:id="128"/>
      <w:bookmarkEnd w:id="129"/>
      <w:bookmarkEnd w:id="130"/>
      <w:bookmarkEnd w:id="131"/>
      <w:bookmarkEnd w:id="13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3" w:name="_Toc23906"/>
      <w:bookmarkStart w:id="134" w:name="_Toc5747"/>
      <w:bookmarkStart w:id="135" w:name="_Toc18207"/>
      <w:bookmarkStart w:id="136" w:name="_Toc23765"/>
      <w:bookmarkStart w:id="137" w:name="_Toc16330033"/>
      <w:r>
        <w:rPr>
          <w:rFonts w:hint="eastAsia" w:ascii="黑体" w:hAnsi="黑体" w:eastAsia="黑体" w:cstheme="minorEastAsia"/>
          <w:b w:val="0"/>
          <w:sz w:val="28"/>
          <w:szCs w:val="28"/>
        </w:rPr>
        <w:t>16 附件</w:t>
      </w:r>
      <w:bookmarkEnd w:id="133"/>
      <w:bookmarkEnd w:id="134"/>
      <w:bookmarkEnd w:id="135"/>
      <w:bookmarkEnd w:id="136"/>
      <w:bookmarkEnd w:id="13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38" w:name="_Toc31331"/>
      <w:bookmarkStart w:id="139" w:name="_Toc16330034"/>
      <w:bookmarkStart w:id="140" w:name="_Toc9594"/>
      <w:bookmarkStart w:id="141" w:name="_Toc17656"/>
      <w:bookmarkStart w:id="142" w:name="_Toc27202"/>
      <w:r>
        <w:rPr>
          <w:rFonts w:hint="eastAsia" w:ascii="黑体" w:hAnsi="黑体" w:eastAsia="黑体" w:cstheme="minorEastAsia"/>
          <w:b w:val="0"/>
          <w:sz w:val="28"/>
          <w:szCs w:val="28"/>
        </w:rPr>
        <w:t>17 其他规定</w:t>
      </w:r>
      <w:bookmarkEnd w:id="138"/>
      <w:bookmarkEnd w:id="139"/>
      <w:bookmarkEnd w:id="140"/>
      <w:bookmarkEnd w:id="141"/>
      <w:bookmarkEnd w:id="1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43" w:name="_Toc17952"/>
      <w:bookmarkStart w:id="144" w:name="_Toc29136"/>
      <w:bookmarkStart w:id="145" w:name="_Toc16330035"/>
      <w:bookmarkStart w:id="146"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theme="minorEastAsia"/>
          <w:b w:val="0"/>
          <w:sz w:val="28"/>
          <w:szCs w:val="28"/>
        </w:rPr>
      </w:pPr>
      <w:bookmarkStart w:id="147" w:name="_Toc15340"/>
      <w:r>
        <w:rPr>
          <w:rFonts w:hint="eastAsia" w:ascii="黑体" w:hAnsi="黑体" w:eastAsia="黑体" w:cstheme="minorEastAsia"/>
          <w:b w:val="0"/>
          <w:sz w:val="28"/>
          <w:szCs w:val="28"/>
        </w:rPr>
        <w:t>18 签署事项</w:t>
      </w:r>
      <w:bookmarkEnd w:id="143"/>
      <w:bookmarkEnd w:id="144"/>
      <w:bookmarkEnd w:id="145"/>
      <w:bookmarkEnd w:id="146"/>
      <w:bookmarkEnd w:id="1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48" w:name="_Toc10272"/>
      <w:bookmarkStart w:id="149" w:name="_Toc15689"/>
      <w:bookmarkStart w:id="150" w:name="_Toc16330036"/>
      <w:bookmarkStart w:id="151" w:name="_Toc28611"/>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48"/>
    <w:bookmarkEnd w:id="149"/>
    <w:bookmarkEnd w:id="150"/>
    <w:bookmarkEnd w:id="151"/>
    <w:p>
      <w:pPr>
        <w:rPr>
          <w:sz w:val="24"/>
          <w:szCs w:val="24"/>
        </w:rPr>
      </w:pPr>
    </w:p>
    <w:p>
      <w:pPr>
        <w:pStyle w:val="4"/>
        <w:tabs>
          <w:tab w:val="right" w:leader="dot" w:pos="9061"/>
        </w:tabs>
        <w:rPr>
          <w:rFonts w:ascii="黑体" w:hAnsi="黑体" w:eastAsia="黑体" w:cstheme="minorEastAsia"/>
          <w:b w:val="0"/>
          <w:sz w:val="28"/>
          <w:szCs w:val="28"/>
        </w:rPr>
      </w:pPr>
      <w:bookmarkStart w:id="152" w:name="_Toc14581"/>
      <w:r>
        <w:rPr>
          <w:rFonts w:hint="eastAsia" w:ascii="黑体" w:hAnsi="黑体" w:eastAsia="黑体" w:cstheme="minorEastAsia"/>
          <w:b w:val="0"/>
          <w:sz w:val="28"/>
          <w:szCs w:val="28"/>
        </w:rPr>
        <w:t>附件一：设备清单明细表</w:t>
      </w:r>
      <w:bookmarkEnd w:id="152"/>
    </w:p>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7"/>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7"/>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7"/>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7"/>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rPr>
          <w:rFonts w:asciiTheme="minorEastAsia" w:hAnsiTheme="minorEastAsia" w:cstheme="minorEastAsia"/>
          <w:sz w:val="20"/>
        </w:rPr>
      </w:pPr>
      <w:bookmarkStart w:id="153" w:name="_Toc16330037"/>
      <w:bookmarkStart w:id="154" w:name="_Toc25120"/>
      <w:bookmarkStart w:id="155" w:name="_Toc24623"/>
      <w:bookmarkStart w:id="156" w:name="_Toc5379"/>
      <w:bookmarkStart w:id="157" w:name="_Toc3778"/>
    </w:p>
    <w:p>
      <w:pPr>
        <w:rPr>
          <w:rFonts w:asciiTheme="minorEastAsia" w:hAnsiTheme="minorEastAsia" w:cstheme="minorEastAsia"/>
          <w:sz w:val="20"/>
          <w:szCs w:val="20"/>
        </w:rPr>
      </w:pPr>
      <w:r>
        <w:rPr>
          <w:rFonts w:hint="eastAsia" w:asciiTheme="minorEastAsia" w:hAnsiTheme="minorEastAsia" w:cstheme="minorEastAsia"/>
          <w:sz w:val="20"/>
          <w:szCs w:val="20"/>
        </w:rPr>
        <w:br w:type="page"/>
      </w:r>
    </w:p>
    <w:p>
      <w:pPr>
        <w:pStyle w:val="4"/>
        <w:tabs>
          <w:tab w:val="right" w:leader="dot" w:pos="9061"/>
        </w:tabs>
        <w:rPr>
          <w:rFonts w:ascii="黑体" w:hAnsi="黑体" w:eastAsia="黑体" w:cstheme="minorEastAsia"/>
          <w:b w:val="0"/>
          <w:sz w:val="28"/>
          <w:szCs w:val="28"/>
        </w:rPr>
      </w:pPr>
      <w:bookmarkStart w:id="158" w:name="_Toc8175"/>
      <w:r>
        <w:rPr>
          <w:rFonts w:hint="eastAsia" w:ascii="黑体" w:hAnsi="黑体" w:eastAsia="黑体" w:cstheme="minorEastAsia"/>
          <w:b w:val="0"/>
          <w:sz w:val="28"/>
          <w:szCs w:val="28"/>
        </w:rPr>
        <w:t xml:space="preserve">附件二 </w:t>
      </w:r>
      <w:bookmarkEnd w:id="153"/>
      <w:bookmarkEnd w:id="154"/>
      <w:bookmarkEnd w:id="155"/>
      <w:bookmarkEnd w:id="156"/>
      <w:bookmarkEnd w:id="157"/>
      <w:r>
        <w:rPr>
          <w:rFonts w:hint="eastAsia" w:ascii="黑体" w:hAnsi="黑体" w:eastAsia="黑体" w:cstheme="minorEastAsia"/>
          <w:b w:val="0"/>
          <w:sz w:val="28"/>
          <w:szCs w:val="28"/>
        </w:rPr>
        <w:t>技术协议书</w:t>
      </w:r>
      <w:bookmarkEnd w:id="158"/>
    </w:p>
    <w:p>
      <w:pPr>
        <w:ind w:right="360"/>
        <w:rPr>
          <w:rFonts w:asciiTheme="minorEastAsia" w:hAnsiTheme="minorEastAsia" w:cstheme="minorEastAsia"/>
          <w:sz w:val="20"/>
          <w:szCs w:val="20"/>
        </w:rPr>
        <w:sectPr>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9" w:name="_Toc31200"/>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9"/>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8" w:type="first"/>
          <w:footerReference r:id="rId17"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0" w:name="_Toc353881012"/>
      <w:bookmarkStart w:id="161" w:name="_Toc25811"/>
      <w:bookmarkStart w:id="162" w:name="_Toc639004"/>
      <w:bookmarkStart w:id="163"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0"/>
      <w:bookmarkEnd w:id="161"/>
      <w:bookmarkEnd w:id="162"/>
      <w:bookmarkEnd w:id="16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根据贵方</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val="0"/>
          <w:bCs w:val="0"/>
          <w:color w:val="000000"/>
          <w:sz w:val="24"/>
          <w:szCs w:val="24"/>
          <w:highlight w:val="none"/>
          <w:u w:val="single"/>
          <w:lang w:eastAsia="zh-CN"/>
        </w:rPr>
        <w:t>车载网络测试系统项目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宋体"/>
          <w:sz w:val="24"/>
          <w:szCs w:val="24"/>
          <w:highlight w:val="none"/>
          <w:u w:val="single"/>
          <w:lang w:val="en-US" w:eastAsia="zh-CN"/>
        </w:rPr>
        <w:t>CGZX2023040251</w:t>
      </w:r>
      <w:r>
        <w:rPr>
          <w:rFonts w:hint="eastAsia" w:ascii="宋体" w:hAnsi="宋体" w:eastAsia="宋体" w:cs="Times New Roman"/>
          <w:color w:val="000000"/>
          <w:sz w:val="24"/>
          <w:szCs w:val="24"/>
          <w:highlight w:val="none"/>
        </w:rPr>
        <w:t>）</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bCs/>
          <w:snapToGrid w:val="0"/>
          <w:color w:val="000000"/>
          <w:kern w:val="0"/>
          <w:sz w:val="24"/>
          <w:szCs w:val="24"/>
          <w:highlight w:val="none"/>
        </w:rPr>
        <w:t>项目招标公告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提交纸质投标文件：资质证明文件、商务文件和技术文件正本一份、副本</w:t>
      </w:r>
      <w:r>
        <w:rPr>
          <w:rFonts w:hint="eastAsia" w:ascii="宋体" w:hAnsi="宋体" w:eastAsia="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w:t>
      </w:r>
      <w:r>
        <w:rPr>
          <w:rFonts w:hint="eastAsia" w:ascii="宋体" w:hAnsi="宋体" w:eastAsia="宋体" w:cs="Times New Roman"/>
          <w:color w:val="000000"/>
          <w:sz w:val="24"/>
          <w:szCs w:val="24"/>
          <w:highlight w:val="none"/>
        </w:rPr>
        <w:t>：我＿＿＿＿＿＿＿（姓名）系＿＿＿＿＿＿＿＿＿＿＿＿＿＿＿＿＿＿＿＿＿＿＿＿＿＿＿＿（投标人全称）的法定代表人，就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val="0"/>
          <w:bCs w:val="0"/>
          <w:color w:val="000000"/>
          <w:sz w:val="24"/>
          <w:szCs w:val="24"/>
          <w:highlight w:val="none"/>
          <w:u w:val="single"/>
          <w:lang w:eastAsia="zh-CN"/>
        </w:rPr>
        <w:t>车载网络测试系统项目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宋体"/>
          <w:sz w:val="24"/>
          <w:szCs w:val="24"/>
          <w:highlight w:val="none"/>
          <w:u w:val="single"/>
          <w:lang w:val="en-US" w:eastAsia="zh-CN"/>
        </w:rPr>
        <w:t>CGZX2023040251</w:t>
      </w:r>
      <w:r>
        <w:rPr>
          <w:rFonts w:hint="eastAsia" w:ascii="宋体" w:hAnsi="宋体" w:eastAsia="宋体" w:cs="Times New Roman"/>
          <w:color w:val="000000"/>
          <w:sz w:val="24"/>
          <w:szCs w:val="24"/>
          <w:highlight w:val="none"/>
        </w:rPr>
        <w:t>）现授权委托＿＿＿＿＿＿＿＿＿＿＿＿＿＿＿＿＿＿＿＿＿＿＿＿＿＿＿＿（单位名称）的＿＿＿＿＿＿＿＿（姓名、职务）为我公司全权代表，全权代表在投标文件</w:t>
      </w:r>
      <w:r>
        <w:rPr>
          <w:rFonts w:hint="eastAsia" w:ascii="宋体" w:hAnsi="宋体" w:eastAsia="宋体" w:cs="Times New Roman"/>
          <w:color w:val="000000"/>
          <w:sz w:val="24"/>
          <w:szCs w:val="24"/>
        </w:rPr>
        <w:t>、评标过程中的书面承诺、合同等所签署的一切文件和处理与之有关的一切事务，我均予以承认。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1"/>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1"/>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1"/>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1"/>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14"/>
              <w:ind w:left="720"/>
            </w:pPr>
            <w:r>
              <w:t xml:space="preserve">品牌区分 </w:t>
            </w:r>
          </w:p>
        </w:tc>
        <w:tc>
          <w:tcPr>
            <w:tcW w:w="7500" w:type="dxa"/>
            <w:gridSpan w:val="6"/>
          </w:tcPr>
          <w:p>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1"/>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1"/>
              <w:spacing w:before="15"/>
              <w:ind w:left="279"/>
            </w:pPr>
            <w:r>
              <w:rPr>
                <w:spacing w:val="-2"/>
              </w:rPr>
              <w:t>质量</w:t>
            </w:r>
            <w:r>
              <w:t xml:space="preserve"> </w:t>
            </w:r>
          </w:p>
          <w:p>
            <w:pPr>
              <w:pStyle w:val="131"/>
              <w:spacing w:before="30" w:line="277" w:lineRule="exact"/>
              <w:ind w:left="279"/>
            </w:pPr>
            <w:r>
              <w:rPr>
                <w:rFonts w:hint="eastAsia"/>
              </w:rPr>
              <w:t>体系</w:t>
            </w:r>
          </w:p>
        </w:tc>
        <w:tc>
          <w:tcPr>
            <w:tcW w:w="2820" w:type="dxa"/>
            <w:gridSpan w:val="2"/>
          </w:tcPr>
          <w:p>
            <w:pPr>
              <w:pStyle w:val="131"/>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1"/>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8"/>
        <w:gridCol w:w="1143"/>
        <w:gridCol w:w="1186"/>
        <w:gridCol w:w="1214"/>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51" w:type="dxa"/>
            <w:gridSpan w:val="5"/>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4883"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4883" w:type="dxa"/>
            <w:gridSpan w:val="4"/>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143"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186"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21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340" w:type="dxa"/>
            <w:vAlign w:val="center"/>
          </w:tcPr>
          <w:p>
            <w:pPr>
              <w:spacing w:line="440" w:lineRule="exact"/>
              <w:jc w:val="center"/>
              <w:rPr>
                <w:rFonts w:hint="eastAsia" w:ascii="宋体" w:hAnsi="宋体" w:eastAsia="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143" w:type="dxa"/>
          </w:tcPr>
          <w:p>
            <w:pPr>
              <w:spacing w:line="440" w:lineRule="exact"/>
              <w:jc w:val="center"/>
              <w:rPr>
                <w:rFonts w:ascii="宋体" w:hAnsi="宋体"/>
                <w:color w:val="000000"/>
                <w:sz w:val="24"/>
                <w:szCs w:val="24"/>
                <w:highlight w:val="yellow"/>
              </w:rPr>
            </w:pPr>
          </w:p>
        </w:tc>
        <w:tc>
          <w:tcPr>
            <w:tcW w:w="1186" w:type="dxa"/>
          </w:tcPr>
          <w:p>
            <w:pPr>
              <w:spacing w:line="440" w:lineRule="exact"/>
              <w:jc w:val="center"/>
              <w:rPr>
                <w:rFonts w:ascii="宋体" w:hAnsi="宋体"/>
                <w:color w:val="000000"/>
                <w:sz w:val="24"/>
                <w:szCs w:val="24"/>
                <w:highlight w:val="yellow"/>
              </w:rPr>
            </w:pPr>
          </w:p>
        </w:tc>
        <w:tc>
          <w:tcPr>
            <w:tcW w:w="1214" w:type="dxa"/>
          </w:tcPr>
          <w:p>
            <w:pPr>
              <w:spacing w:line="440" w:lineRule="exact"/>
              <w:jc w:val="center"/>
              <w:rPr>
                <w:rFonts w:ascii="宋体" w:hAnsi="宋体"/>
                <w:color w:val="000000"/>
                <w:sz w:val="24"/>
                <w:szCs w:val="24"/>
                <w:highlight w:val="yellow"/>
              </w:rPr>
            </w:pPr>
          </w:p>
        </w:tc>
        <w:tc>
          <w:tcPr>
            <w:tcW w:w="134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143" w:type="dxa"/>
          </w:tcPr>
          <w:p>
            <w:pPr>
              <w:spacing w:line="440" w:lineRule="exact"/>
              <w:jc w:val="center"/>
              <w:rPr>
                <w:rFonts w:ascii="宋体" w:hAnsi="宋体"/>
                <w:color w:val="000000"/>
                <w:sz w:val="24"/>
                <w:szCs w:val="24"/>
                <w:highlight w:val="yellow"/>
              </w:rPr>
            </w:pPr>
          </w:p>
        </w:tc>
        <w:tc>
          <w:tcPr>
            <w:tcW w:w="1186" w:type="dxa"/>
          </w:tcPr>
          <w:p>
            <w:pPr>
              <w:spacing w:line="440" w:lineRule="exact"/>
              <w:jc w:val="center"/>
              <w:rPr>
                <w:rFonts w:ascii="宋体" w:hAnsi="宋体"/>
                <w:color w:val="000000"/>
                <w:sz w:val="24"/>
                <w:szCs w:val="24"/>
                <w:highlight w:val="yellow"/>
              </w:rPr>
            </w:pPr>
          </w:p>
        </w:tc>
        <w:tc>
          <w:tcPr>
            <w:tcW w:w="1214" w:type="dxa"/>
          </w:tcPr>
          <w:p>
            <w:pPr>
              <w:spacing w:line="440" w:lineRule="exact"/>
              <w:jc w:val="center"/>
              <w:rPr>
                <w:rFonts w:ascii="宋体" w:hAnsi="宋体"/>
                <w:color w:val="000000"/>
                <w:sz w:val="24"/>
                <w:szCs w:val="24"/>
                <w:highlight w:val="yellow"/>
              </w:rPr>
            </w:pPr>
          </w:p>
        </w:tc>
        <w:tc>
          <w:tcPr>
            <w:tcW w:w="134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143" w:type="dxa"/>
          </w:tcPr>
          <w:p>
            <w:pPr>
              <w:spacing w:line="440" w:lineRule="exact"/>
              <w:jc w:val="center"/>
              <w:rPr>
                <w:rFonts w:ascii="宋体" w:hAnsi="宋体"/>
                <w:color w:val="000000"/>
                <w:sz w:val="24"/>
                <w:szCs w:val="24"/>
                <w:highlight w:val="yellow"/>
              </w:rPr>
            </w:pPr>
          </w:p>
        </w:tc>
        <w:tc>
          <w:tcPr>
            <w:tcW w:w="1186" w:type="dxa"/>
          </w:tcPr>
          <w:p>
            <w:pPr>
              <w:spacing w:line="440" w:lineRule="exact"/>
              <w:jc w:val="center"/>
              <w:rPr>
                <w:rFonts w:ascii="宋体" w:hAnsi="宋体"/>
                <w:color w:val="000000"/>
                <w:sz w:val="24"/>
                <w:szCs w:val="24"/>
                <w:highlight w:val="yellow"/>
              </w:rPr>
            </w:pPr>
          </w:p>
        </w:tc>
        <w:tc>
          <w:tcPr>
            <w:tcW w:w="1214" w:type="dxa"/>
          </w:tcPr>
          <w:p>
            <w:pPr>
              <w:spacing w:line="440" w:lineRule="exact"/>
              <w:jc w:val="center"/>
              <w:rPr>
                <w:rFonts w:ascii="宋体" w:hAnsi="宋体"/>
                <w:color w:val="000000"/>
                <w:sz w:val="24"/>
                <w:szCs w:val="24"/>
                <w:highlight w:val="yellow"/>
              </w:rPr>
            </w:pPr>
          </w:p>
        </w:tc>
        <w:tc>
          <w:tcPr>
            <w:tcW w:w="1340"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6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143" w:type="dxa"/>
          </w:tcPr>
          <w:p>
            <w:pPr>
              <w:spacing w:line="440" w:lineRule="exact"/>
              <w:jc w:val="center"/>
              <w:rPr>
                <w:rFonts w:ascii="宋体" w:hAnsi="宋体"/>
                <w:color w:val="000000"/>
                <w:sz w:val="24"/>
                <w:szCs w:val="24"/>
              </w:rPr>
            </w:pPr>
          </w:p>
        </w:tc>
        <w:tc>
          <w:tcPr>
            <w:tcW w:w="1186" w:type="dxa"/>
          </w:tcPr>
          <w:p>
            <w:pPr>
              <w:spacing w:line="440" w:lineRule="exact"/>
              <w:jc w:val="center"/>
              <w:rPr>
                <w:rFonts w:ascii="宋体" w:hAnsi="宋体"/>
                <w:color w:val="000000"/>
                <w:sz w:val="24"/>
                <w:szCs w:val="24"/>
              </w:rPr>
            </w:pPr>
          </w:p>
        </w:tc>
        <w:tc>
          <w:tcPr>
            <w:tcW w:w="1214" w:type="dxa"/>
          </w:tcPr>
          <w:p>
            <w:pPr>
              <w:spacing w:line="440" w:lineRule="exact"/>
              <w:jc w:val="center"/>
              <w:rPr>
                <w:rFonts w:ascii="宋体" w:hAnsi="宋体"/>
                <w:color w:val="000000"/>
                <w:sz w:val="24"/>
                <w:szCs w:val="24"/>
              </w:rPr>
            </w:pPr>
          </w:p>
        </w:tc>
        <w:tc>
          <w:tcPr>
            <w:tcW w:w="1340"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20</w:t>
      </w:r>
      <w:r>
        <w:rPr>
          <w:rFonts w:hint="eastAsia"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color w:val="000000"/>
          <w:sz w:val="24"/>
          <w:szCs w:val="24"/>
        </w:rPr>
        <w:t xml:space="preserve">                                                             </w:t>
      </w:r>
    </w:p>
    <w:tbl>
      <w:tblPr>
        <w:tblStyle w:val="37"/>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1</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2</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3</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4</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5</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6</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7</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8</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jc w:val="center"/>
              <w:rPr>
                <w:rFonts w:hint="eastAsia"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9</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top"/>
          </w:tcPr>
          <w:p>
            <w:pPr>
              <w:ind w:left="420" w:leftChars="0" w:hanging="420" w:firstLineChars="0"/>
              <w:rPr>
                <w:rFonts w:hint="default" w:ascii="宋体" w:hAnsi="Times New Roman" w:eastAsia="宋体" w:cs="Times New Roman"/>
                <w:b/>
                <w:kern w:val="2"/>
                <w:sz w:val="21"/>
                <w:szCs w:val="20"/>
                <w:lang w:val="en-US" w:eastAsia="zh-CN" w:bidi="ar-SA"/>
              </w:rPr>
            </w:pPr>
            <w:r>
              <w:rPr>
                <w:rFonts w:hint="eastAsia" w:ascii="宋体" w:hAnsi="Times New Roman" w:eastAsia="宋体" w:cs="Times New Roman"/>
                <w:b/>
                <w:szCs w:val="20"/>
                <w:lang w:val="en-US" w:eastAsia="zh-CN"/>
              </w:rPr>
              <w:t>……</w:t>
            </w: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vAlign w:val="top"/>
          </w:tcPr>
          <w:p>
            <w:pPr>
              <w:ind w:left="420" w:leftChars="0" w:hanging="420" w:firstLineChars="0"/>
              <w:rPr>
                <w:rFonts w:hint="eastAsia" w:ascii="宋体" w:hAnsi="Times New Roman" w:eastAsia="宋体" w:cs="Times New Roman"/>
                <w:b/>
                <w:kern w:val="2"/>
                <w:sz w:val="21"/>
                <w:szCs w:val="20"/>
                <w:lang w:val="en-US" w:eastAsia="zh-CN" w:bidi="ar-SA"/>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20</w:t>
            </w:r>
            <w:r>
              <w:rPr>
                <w:rFonts w:ascii="宋体" w:hAnsi="宋体" w:eastAsia="宋体" w:cs="宋体"/>
                <w:sz w:val="24"/>
                <w:szCs w:val="24"/>
                <w:highlight w:val="yellow"/>
              </w:rPr>
              <w:t>年1月1日至今所有业绩合同总额汇总（必填）</w:t>
            </w:r>
          </w:p>
        </w:tc>
        <w:tc>
          <w:tcPr>
            <w:tcW w:w="826" w:type="dxa"/>
          </w:tcPr>
          <w:p>
            <w:pPr>
              <w:keepNext w:val="0"/>
              <w:keepLines w:val="0"/>
              <w:pageBreakBefore w:val="0"/>
              <w:widowControl w:val="0"/>
              <w:kinsoku/>
              <w:wordWrap/>
              <w:overflowPunct/>
              <w:topLinePunct w:val="0"/>
              <w:autoSpaceDE/>
              <w:autoSpaceDN/>
              <w:bidi w:val="0"/>
              <w:adjustRightInd/>
              <w:snapToGrid/>
              <w:ind w:left="0" w:firstLine="0"/>
              <w:jc w:val="left"/>
              <w:textAlignment w:val="auto"/>
              <w:rPr>
                <w:rFonts w:hint="default" w:ascii="宋体" w:hAnsi="Times New Roman" w:eastAsia="宋体" w:cs="Times New Roman"/>
                <w:b/>
                <w:szCs w:val="20"/>
                <w:lang w:val="en-US" w:eastAsia="zh-CN"/>
              </w:rPr>
            </w:pPr>
          </w:p>
        </w:tc>
        <w:tc>
          <w:tcPr>
            <w:tcW w:w="1320" w:type="dxa"/>
          </w:tcPr>
          <w:p>
            <w:pPr>
              <w:keepNext w:val="0"/>
              <w:keepLines w:val="0"/>
              <w:pageBreakBefore w:val="0"/>
              <w:widowControl w:val="0"/>
              <w:kinsoku/>
              <w:wordWrap/>
              <w:overflowPunct/>
              <w:topLinePunct w:val="0"/>
              <w:autoSpaceDE/>
              <w:autoSpaceDN/>
              <w:bidi w:val="0"/>
              <w:adjustRightInd/>
              <w:snapToGrid/>
              <w:ind w:left="0" w:firstLine="0"/>
              <w:jc w:val="left"/>
              <w:textAlignment w:val="auto"/>
              <w:rPr>
                <w:rFonts w:hint="default" w:ascii="宋体" w:hAnsi="Times New Roman" w:eastAsia="宋体" w:cs="Times New Roman"/>
                <w:b/>
                <w:szCs w:val="20"/>
                <w:lang w:val="en-US" w:eastAsia="zh-CN"/>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hint="eastAsia" w:ascii="宋体" w:hAnsi="宋体" w:eastAsia="宋体" w:cs="宋体"/>
          <w:kern w:val="0"/>
          <w:sz w:val="24"/>
          <w:szCs w:val="20"/>
          <w:lang w:val="en-US" w:eastAsia="zh-CN"/>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20</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kern w:val="0"/>
          <w:sz w:val="24"/>
          <w:szCs w:val="20"/>
          <w:lang w:eastAsia="zh-CN"/>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pgNumType w:fmt="decimal"/>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ascii="宋体" w:hAnsi="宋体" w:eastAsia="宋体" w:cs="Times New Roman"/>
          <w:color w:val="000000"/>
          <w:sz w:val="24"/>
          <w:szCs w:val="24"/>
        </w:rPr>
        <w:t xml:space="preserve"> </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color w:val="000000"/>
          <w:sz w:val="24"/>
          <w:szCs w:val="24"/>
        </w:rPr>
        <w:t xml:space="preserve">                                            </w:t>
      </w:r>
    </w:p>
    <w:tbl>
      <w:tblPr>
        <w:tblStyle w:val="37"/>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ascii="宋体" w:hAnsi="宋体" w:eastAsia="宋体" w:cs="Times New Roman"/>
                <w:b/>
                <w:bCs/>
                <w:color w:val="000000"/>
                <w:sz w:val="24"/>
                <w:szCs w:val="24"/>
                <w:u w:val="single"/>
                <w:lang w:eastAsia="zh-CN"/>
              </w:rPr>
              <w:t>车载网络测试系统</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int="eastAsia" w:hAnsi="宋体" w:eastAsia="宋体" w:cs="宋体"/>
          <w:b/>
          <w:bCs w:val="0"/>
          <w:szCs w:val="20"/>
        </w:rPr>
      </w:pPr>
      <w:r>
        <w:rPr>
          <w:rFonts w:hint="eastAsia" w:hAnsi="宋体" w:eastAsia="宋体" w:cs="宋体"/>
          <w:b/>
          <w:szCs w:val="20"/>
        </w:rPr>
        <w:t>4.</w:t>
      </w:r>
      <w:r>
        <w:rPr>
          <w:rFonts w:hint="eastAsia" w:hAnsi="宋体" w:eastAsia="宋体" w:cs="宋体"/>
          <w:b/>
          <w:bCs w:val="0"/>
          <w:szCs w:val="20"/>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pgNumType w:fmt="decimal"/>
          <w:cols w:space="720" w:num="1"/>
          <w:titlePg/>
          <w:docGrid w:type="lines" w:linePitch="312" w:charSpace="0"/>
        </w:sectPr>
      </w:pPr>
    </w:p>
    <w:p>
      <w:pPr>
        <w:rPr>
          <w:rFonts w:hint="eastAsia" w:ascii="宋体" w:hAnsi="宋体" w:cs="宋体"/>
          <w:color w:val="000000"/>
          <w:sz w:val="24"/>
          <w:szCs w:val="24"/>
        </w:rPr>
      </w:pPr>
    </w:p>
    <w:p>
      <w:pPr>
        <w:pStyle w:val="5"/>
        <w:keepNext/>
        <w:keepLines/>
        <w:pageBreakBefore w:val="0"/>
        <w:widowControl w:val="0"/>
        <w:kinsoku/>
        <w:wordWrap/>
        <w:overflowPunct/>
        <w:topLinePunct w:val="0"/>
        <w:autoSpaceDE/>
        <w:autoSpaceDN/>
        <w:bidi w:val="0"/>
        <w:adjustRightInd/>
        <w:snapToGrid/>
        <w:spacing w:before="100" w:after="100" w:line="240" w:lineRule="auto"/>
        <w:jc w:val="left"/>
        <w:textAlignment w:val="auto"/>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keepNext/>
        <w:keepLines/>
        <w:pageBreakBefore w:val="0"/>
        <w:widowControl w:val="0"/>
        <w:kinsoku/>
        <w:wordWrap/>
        <w:overflowPunct/>
        <w:topLinePunct w:val="0"/>
        <w:autoSpaceDE/>
        <w:autoSpaceDN/>
        <w:bidi w:val="0"/>
        <w:adjustRightInd/>
        <w:snapToGrid/>
        <w:spacing w:before="0" w:after="0" w:line="240" w:lineRule="auto"/>
        <w:textAlignment w:val="auto"/>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rPr>
          <w:rFonts w:ascii="宋体" w:hAnsi="宋体" w:eastAsia="宋体" w:cs="Times New Roman"/>
          <w:b/>
          <w:bCs/>
          <w:sz w:val="24"/>
          <w:szCs w:val="24"/>
          <w:highlight w:val="no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9"/>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26"/>
        <w:gridCol w:w="1276"/>
        <w:gridCol w:w="1134"/>
        <w:gridCol w:w="1559"/>
        <w:gridCol w:w="1701"/>
        <w:gridCol w:w="2137"/>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1</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2</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3</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4</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5</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6</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7</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序号</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货物名称</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型号和规格</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数量</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原产地和制造商名称</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机柜</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highlight w:val="none"/>
              </w:rPr>
            </w:pPr>
            <w:r>
              <w:rPr>
                <w:rFonts w:ascii="宋体" w:hAnsi="宋体" w:eastAsia="宋体" w:cs="宋体"/>
                <w:szCs w:val="21"/>
                <w:highlight w:val="none"/>
              </w:rPr>
              <w:t>2</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程控电源</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highlight w:val="none"/>
              </w:rPr>
            </w:pPr>
            <w:r>
              <w:rPr>
                <w:rFonts w:ascii="宋体" w:hAnsi="宋体" w:eastAsia="宋体" w:cs="宋体"/>
                <w:szCs w:val="21"/>
                <w:highlight w:val="none"/>
              </w:rPr>
              <w:t>3</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四象限电源</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09" w:line="186" w:lineRule="auto"/>
              <w:ind w:left="304"/>
              <w:rPr>
                <w:rFonts w:ascii="宋体" w:hAnsi="宋体" w:eastAsia="宋体" w:cs="宋体"/>
                <w:szCs w:val="21"/>
                <w:highlight w:val="none"/>
              </w:rPr>
            </w:pPr>
            <w:r>
              <w:rPr>
                <w:rFonts w:ascii="宋体" w:hAnsi="宋体" w:eastAsia="宋体" w:cs="宋体"/>
                <w:szCs w:val="21"/>
                <w:highlight w:val="none"/>
              </w:rPr>
              <w:t>4</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程控万用表</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highlight w:val="none"/>
              </w:rPr>
            </w:pPr>
            <w:r>
              <w:rPr>
                <w:rFonts w:ascii="宋体" w:hAnsi="宋体" w:eastAsia="宋体" w:cs="宋体"/>
                <w:szCs w:val="21"/>
                <w:highlight w:val="none"/>
              </w:rPr>
              <w:t>5</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示波器</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1" w:line="185" w:lineRule="auto"/>
              <w:ind w:left="291"/>
              <w:rPr>
                <w:rFonts w:ascii="宋体" w:hAnsi="宋体" w:eastAsia="宋体" w:cs="宋体"/>
                <w:szCs w:val="21"/>
                <w:highlight w:val="none"/>
              </w:rPr>
            </w:pPr>
            <w:r>
              <w:rPr>
                <w:rFonts w:ascii="宋体" w:hAnsi="宋体" w:eastAsia="宋体" w:cs="宋体"/>
                <w:szCs w:val="21"/>
                <w:highlight w:val="none"/>
              </w:rPr>
              <w:t>6</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测试板卡</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2" w:line="183" w:lineRule="auto"/>
              <w:ind w:left="293"/>
              <w:rPr>
                <w:rFonts w:ascii="宋体" w:hAnsi="宋体" w:eastAsia="宋体" w:cs="宋体"/>
                <w:szCs w:val="21"/>
                <w:highlight w:val="none"/>
              </w:rPr>
            </w:pPr>
            <w:r>
              <w:rPr>
                <w:rFonts w:ascii="宋体" w:hAnsi="宋体" w:eastAsia="宋体" w:cs="宋体"/>
                <w:position w:val="1"/>
                <w:szCs w:val="21"/>
                <w:highlight w:val="none"/>
              </w:rPr>
              <w:t>7</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总线接口卡</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pPr>
              <w:spacing w:before="112" w:line="185" w:lineRule="auto"/>
              <w:ind w:left="288"/>
              <w:rPr>
                <w:rFonts w:ascii="宋体" w:hAnsi="宋体" w:eastAsia="宋体" w:cs="宋体"/>
                <w:szCs w:val="21"/>
                <w:highlight w:val="none"/>
              </w:rPr>
            </w:pPr>
            <w:r>
              <w:rPr>
                <w:rFonts w:hint="eastAsia" w:ascii="宋体" w:hAnsi="宋体" w:eastAsia="宋体" w:cs="宋体"/>
                <w:position w:val="1"/>
                <w:szCs w:val="21"/>
                <w:highlight w:val="none"/>
              </w:rPr>
              <w:t>8</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总线干扰仪</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2" w:lineRule="auto"/>
              <w:ind w:left="293"/>
              <w:rPr>
                <w:rFonts w:ascii="宋体" w:hAnsi="宋体" w:eastAsia="宋体" w:cs="宋体"/>
                <w:szCs w:val="21"/>
                <w:highlight w:val="none"/>
              </w:rPr>
            </w:pPr>
            <w:r>
              <w:rPr>
                <w:rFonts w:hint="eastAsia" w:ascii="宋体" w:hAnsi="宋体" w:eastAsia="宋体" w:cs="宋体"/>
                <w:position w:val="1"/>
                <w:szCs w:val="21"/>
                <w:highlight w:val="none"/>
              </w:rPr>
              <w:t>9</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工控机</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114" w:line="183" w:lineRule="auto"/>
              <w:ind w:left="291"/>
              <w:rPr>
                <w:rFonts w:ascii="宋体" w:hAnsi="宋体" w:eastAsia="宋体" w:cs="宋体"/>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0</w:t>
            </w:r>
          </w:p>
        </w:tc>
        <w:tc>
          <w:tcPr>
            <w:tcW w:w="4426" w:type="dxa"/>
          </w:tcPr>
          <w:p>
            <w:pPr>
              <w:pStyle w:val="126"/>
              <w:spacing w:before="60" w:after="60"/>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打印机</w:t>
            </w:r>
          </w:p>
        </w:tc>
        <w:tc>
          <w:tcPr>
            <w:tcW w:w="1276" w:type="dxa"/>
          </w:tcPr>
          <w:p>
            <w:pPr>
              <w:rPr>
                <w:rFonts w:ascii="Arial"/>
                <w:highlight w:val="none"/>
              </w:rPr>
            </w:pPr>
          </w:p>
        </w:tc>
        <w:tc>
          <w:tcPr>
            <w:tcW w:w="1134" w:type="dxa"/>
            <w:vAlign w:val="center"/>
          </w:tcPr>
          <w:p>
            <w:pPr>
              <w:spacing w:line="360" w:lineRule="auto"/>
              <w:jc w:val="center"/>
              <w:textAlignment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ascii="宋体" w:hAnsi="宋体" w:eastAsia="宋体"/>
                <w:szCs w:val="21"/>
                <w:highlight w:val="none"/>
              </w:rPr>
              <w:t>CAN/LIN/CANFD网络测试系统</w:t>
            </w:r>
            <w:r>
              <w:rPr>
                <w:rFonts w:hint="eastAsia" w:ascii="宋体" w:hAnsi="宋体" w:eastAsia="宋体"/>
                <w:szCs w:val="21"/>
                <w:highlight w:val="none"/>
              </w:rPr>
              <w:t>笔记本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以太网测试系统机柜</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以太网测试系统程控电源</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以太网测试系统矢量网络分析仪</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5</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以太网测试系统信号发生器</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6</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以太网测试系统示波器</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7</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以太网测试系统测试板卡</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bl>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rPr>
          <w:rFonts w:hint="eastAsia"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9"/>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26"/>
        <w:gridCol w:w="1276"/>
        <w:gridCol w:w="1134"/>
        <w:gridCol w:w="1559"/>
        <w:gridCol w:w="1701"/>
        <w:gridCol w:w="2137"/>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1</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2</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3</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4</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5</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6</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7</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序号</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货物名称</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型号和规格</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数量</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原产地和制造商名称</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8</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以太网测试系统总线接口卡</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1</w:t>
            </w:r>
            <w:r>
              <w:rPr>
                <w:rFonts w:ascii="宋体" w:hAnsi="宋体" w:eastAsia="宋体" w:cs="宋体"/>
                <w:position w:val="1"/>
                <w:szCs w:val="21"/>
                <w:highlight w:val="none"/>
              </w:rPr>
              <w:t>9</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w:t>
            </w:r>
            <w:r>
              <w:rPr>
                <w:rFonts w:ascii="宋体" w:hAnsi="宋体" w:eastAsia="宋体"/>
                <w:szCs w:val="21"/>
                <w:highlight w:val="none"/>
              </w:rPr>
              <w:t>IOP测试设备</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以太网测试系统工控机</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以太网测试系统打印机</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以太网测试系统笔记本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以太网测试系统交换机功能、性能测试设备</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以太网测试系统以太网接口及镜像设备</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5</w:t>
            </w:r>
          </w:p>
        </w:tc>
        <w:tc>
          <w:tcPr>
            <w:tcW w:w="4426" w:type="dxa"/>
          </w:tcPr>
          <w:p>
            <w:pPr>
              <w:rPr>
                <w:rFonts w:ascii="宋体" w:hAnsi="宋体" w:eastAsia="宋体" w:cs="宋体"/>
                <w:szCs w:val="21"/>
                <w:highlight w:val="none"/>
              </w:rPr>
            </w:pPr>
            <w:r>
              <w:rPr>
                <w:rFonts w:hint="eastAsia" w:ascii="宋体" w:hAnsi="宋体" w:eastAsia="宋体"/>
                <w:szCs w:val="21"/>
                <w:highlight w:val="none"/>
              </w:rPr>
              <w:t>以太网测试系统电磁屏蔽箱</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26</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程控B</w:t>
            </w:r>
            <w:r>
              <w:rPr>
                <w:rFonts w:ascii="宋体" w:hAnsi="宋体" w:eastAsia="宋体" w:cs="宋体"/>
                <w:szCs w:val="21"/>
                <w:highlight w:val="none"/>
              </w:rPr>
              <w:t>OB</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27</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测试系统台架</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8</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测试执行软件</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2</w:t>
            </w:r>
            <w:r>
              <w:rPr>
                <w:rFonts w:ascii="宋体" w:hAnsi="宋体" w:eastAsia="宋体" w:cs="宋体"/>
                <w:position w:val="1"/>
                <w:szCs w:val="21"/>
                <w:highlight w:val="none"/>
              </w:rPr>
              <w:t>9</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测试管理软件</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ascii="宋体" w:hAnsi="宋体" w:eastAsia="宋体"/>
                <w:szCs w:val="21"/>
                <w:highlight w:val="none"/>
              </w:rPr>
              <w:t>CAN(FD)通信测试规范及脚本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ascii="宋体" w:hAnsi="宋体" w:eastAsia="宋体"/>
                <w:szCs w:val="21"/>
                <w:highlight w:val="none"/>
              </w:rPr>
              <w:t>CAN(FD)网终管理测试规范及脚本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ascii="宋体" w:hAnsi="宋体" w:eastAsia="宋体"/>
                <w:szCs w:val="21"/>
                <w:highlight w:val="none"/>
              </w:rPr>
              <w:t>LIN通信测试规范及脚本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刷写</w:t>
            </w:r>
            <w:r>
              <w:rPr>
                <w:rFonts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ascii="宋体" w:hAnsi="宋体" w:eastAsia="宋体"/>
                <w:szCs w:val="21"/>
                <w:highlight w:val="none"/>
              </w:rPr>
              <w:t>CAN(FD)诊断测试规范及脚本部件</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5</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网关路由</w:t>
            </w:r>
            <w:r>
              <w:rPr>
                <w:rFonts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6</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台架系统测试规范及脚本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7</w:t>
            </w:r>
          </w:p>
        </w:tc>
        <w:tc>
          <w:tcPr>
            <w:tcW w:w="4426" w:type="dxa"/>
          </w:tcPr>
          <w:p>
            <w:pPr>
              <w:rPr>
                <w:rFonts w:ascii="宋体" w:hAnsi="宋体" w:eastAsia="宋体" w:cs="宋体"/>
                <w:szCs w:val="21"/>
                <w:highlight w:val="none"/>
              </w:rPr>
            </w:pPr>
            <w:r>
              <w:rPr>
                <w:rFonts w:ascii="宋体" w:hAnsi="宋体" w:eastAsia="宋体"/>
                <w:szCs w:val="21"/>
                <w:highlight w:val="none"/>
              </w:rPr>
              <w:t>CAN(FD)通信测试规范及脚本适配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8</w:t>
            </w:r>
          </w:p>
        </w:tc>
        <w:tc>
          <w:tcPr>
            <w:tcW w:w="4426" w:type="dxa"/>
          </w:tcPr>
          <w:p>
            <w:pPr>
              <w:rPr>
                <w:rFonts w:ascii="宋体" w:hAnsi="宋体" w:eastAsia="宋体" w:cs="宋体"/>
                <w:szCs w:val="21"/>
                <w:highlight w:val="none"/>
              </w:rPr>
            </w:pPr>
            <w:r>
              <w:rPr>
                <w:rFonts w:ascii="宋体" w:hAnsi="宋体" w:eastAsia="宋体"/>
                <w:szCs w:val="21"/>
                <w:highlight w:val="none"/>
              </w:rPr>
              <w:t>CAN(FD)网终管理测试规范及脚本适配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3</w:t>
            </w:r>
            <w:r>
              <w:rPr>
                <w:rFonts w:ascii="宋体" w:hAnsi="宋体" w:eastAsia="宋体" w:cs="宋体"/>
                <w:position w:val="1"/>
                <w:szCs w:val="21"/>
                <w:highlight w:val="none"/>
              </w:rPr>
              <w:t>9</w:t>
            </w:r>
          </w:p>
        </w:tc>
        <w:tc>
          <w:tcPr>
            <w:tcW w:w="4426" w:type="dxa"/>
          </w:tcPr>
          <w:p>
            <w:pPr>
              <w:rPr>
                <w:rFonts w:ascii="宋体" w:hAnsi="宋体" w:eastAsia="宋体" w:cs="宋体"/>
                <w:szCs w:val="21"/>
                <w:highlight w:val="none"/>
              </w:rPr>
            </w:pPr>
            <w:r>
              <w:rPr>
                <w:rFonts w:ascii="宋体" w:hAnsi="宋体" w:eastAsia="宋体"/>
                <w:szCs w:val="21"/>
                <w:highlight w:val="none"/>
              </w:rPr>
              <w:t>LIN通信测试规范及脚本适配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bl>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rPr>
          <w:rFonts w:hint="eastAsia"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9"/>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26"/>
        <w:gridCol w:w="1276"/>
        <w:gridCol w:w="1134"/>
        <w:gridCol w:w="1559"/>
        <w:gridCol w:w="1701"/>
        <w:gridCol w:w="2137"/>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1</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2</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3</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4</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5</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6</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7</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序号</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货物名称</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型号和规格</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数量</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原产地和制造商名称</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刷写</w:t>
            </w:r>
            <w:r>
              <w:rPr>
                <w:rFonts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ascii="宋体" w:hAnsi="宋体" w:eastAsia="宋体"/>
                <w:szCs w:val="21"/>
                <w:highlight w:val="none"/>
              </w:rPr>
              <w:t>CAN(FD)诊断测试规范及脚本部件适配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网关路由</w:t>
            </w:r>
            <w:r>
              <w:rPr>
                <w:rFonts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ascii="宋体" w:hAnsi="宋体" w:eastAsia="宋体"/>
                <w:szCs w:val="21"/>
                <w:highlight w:val="none"/>
              </w:rPr>
              <w:t>CAN(FD)</w:t>
            </w:r>
            <w:r>
              <w:rPr>
                <w:rFonts w:hint="eastAsia" w:ascii="宋体" w:hAnsi="宋体" w:eastAsia="宋体"/>
                <w:szCs w:val="21"/>
                <w:highlight w:val="none"/>
              </w:rPr>
              <w:t>台架系统测试规范及脚本适配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以太网物理层</w:t>
            </w:r>
            <w:r>
              <w:rPr>
                <w:rFonts w:hint="eastAsia"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5</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以太网交换机性能</w:t>
            </w:r>
            <w:r>
              <w:rPr>
                <w:rFonts w:hint="eastAsia"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6</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以太网交换机功能</w:t>
            </w:r>
            <w:r>
              <w:rPr>
                <w:rFonts w:hint="eastAsia"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7</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TCP/IP协议族</w:t>
            </w:r>
            <w:r>
              <w:rPr>
                <w:rFonts w:hint="eastAsia"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8</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SOME/IP测试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4</w:t>
            </w:r>
            <w:r>
              <w:rPr>
                <w:rFonts w:ascii="宋体" w:hAnsi="宋体" w:eastAsia="宋体" w:cs="宋体"/>
                <w:position w:val="1"/>
                <w:szCs w:val="21"/>
                <w:highlight w:val="none"/>
              </w:rPr>
              <w:t>9</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以太网单部件基础通信</w:t>
            </w:r>
            <w:r>
              <w:rPr>
                <w:rFonts w:hint="eastAsia" w:ascii="宋体" w:hAnsi="宋体" w:eastAsia="宋体"/>
                <w:szCs w:val="21"/>
                <w:highlight w:val="none"/>
              </w:rPr>
              <w:t>测试规范及脚本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DoIP测试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以太网刷写测试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以太网UDS测试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以太网路由测试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以太网UDPNM网络管理测试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5</w:t>
            </w:r>
          </w:p>
        </w:tc>
        <w:tc>
          <w:tcPr>
            <w:tcW w:w="4426" w:type="dxa"/>
          </w:tcPr>
          <w:p>
            <w:pPr>
              <w:rPr>
                <w:rFonts w:ascii="宋体" w:hAnsi="宋体" w:eastAsia="宋体" w:cs="Times New Roman"/>
                <w:szCs w:val="21"/>
                <w:highlight w:val="none"/>
              </w:rPr>
            </w:pPr>
            <w:r>
              <w:rPr>
                <w:rFonts w:hint="eastAsia" w:ascii="宋体" w:hAnsi="宋体" w:eastAsia="宋体" w:cs="Times New Roman"/>
                <w:szCs w:val="21"/>
                <w:highlight w:val="none"/>
              </w:rPr>
              <w:t>以太网AVB测试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6</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以太网TSN测试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7</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以太网台架系统测试</w:t>
            </w:r>
            <w:r>
              <w:rPr>
                <w:rFonts w:hint="eastAsia" w:ascii="宋体" w:hAnsi="宋体" w:eastAsia="宋体"/>
                <w:szCs w:val="21"/>
                <w:highlight w:val="none"/>
              </w:rPr>
              <w:t>规范及脚本</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8</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以太网物理层</w:t>
            </w:r>
            <w:r>
              <w:rPr>
                <w:rFonts w:hint="eastAsia"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5</w:t>
            </w:r>
            <w:r>
              <w:rPr>
                <w:rFonts w:ascii="宋体" w:hAnsi="宋体" w:eastAsia="宋体" w:cs="宋体"/>
                <w:position w:val="1"/>
                <w:szCs w:val="21"/>
                <w:highlight w:val="none"/>
              </w:rPr>
              <w:t>9</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以太网交换机性能</w:t>
            </w:r>
            <w:r>
              <w:rPr>
                <w:rFonts w:hint="eastAsia"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6</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以太网交换机功能</w:t>
            </w:r>
            <w:r>
              <w:rPr>
                <w:rFonts w:hint="eastAsia"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6</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TCP/IP协议族</w:t>
            </w:r>
            <w:r>
              <w:rPr>
                <w:rFonts w:hint="eastAsia"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bl>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rPr>
          <w:rFonts w:hint="eastAsia" w:ascii="宋体" w:hAnsi="宋体" w:eastAsia="宋体" w:cs="Times New Roman"/>
          <w:b/>
          <w:bCs/>
          <w:sz w:val="24"/>
          <w:szCs w:val="24"/>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9"/>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26"/>
        <w:gridCol w:w="1276"/>
        <w:gridCol w:w="1134"/>
        <w:gridCol w:w="1559"/>
        <w:gridCol w:w="1701"/>
        <w:gridCol w:w="2137"/>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1</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2</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3</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4</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5</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6</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7</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序号</w:t>
            </w:r>
          </w:p>
        </w:tc>
        <w:tc>
          <w:tcPr>
            <w:tcW w:w="442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货物名称</w:t>
            </w:r>
          </w:p>
        </w:tc>
        <w:tc>
          <w:tcPr>
            <w:tcW w:w="1276"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型号和规格</w:t>
            </w:r>
          </w:p>
        </w:tc>
        <w:tc>
          <w:tcPr>
            <w:tcW w:w="1134"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数量</w:t>
            </w:r>
          </w:p>
        </w:tc>
        <w:tc>
          <w:tcPr>
            <w:tcW w:w="155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原产地和制造商名称</w:t>
            </w:r>
          </w:p>
        </w:tc>
        <w:tc>
          <w:tcPr>
            <w:tcW w:w="1701" w:type="dxa"/>
            <w:tcBorders>
              <w:righ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2137" w:type="dxa"/>
            <w:tcBorders>
              <w:left w:val="single" w:color="000000" w:sz="4" w:space="0"/>
            </w:tcBorders>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pPr>
              <w:jc w:val="cente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3"/>
                <w:szCs w:val="21"/>
                <w:highlight w:val="none"/>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6</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SOME/IP测试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6</w:t>
            </w:r>
            <w:r>
              <w:rPr>
                <w:rFonts w:ascii="宋体" w:hAnsi="宋体" w:eastAsia="宋体" w:cs="宋体"/>
                <w:position w:val="1"/>
                <w:szCs w:val="21"/>
                <w:highlight w:val="none"/>
              </w:rPr>
              <w:t>3</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以太网单部件基础通信</w:t>
            </w:r>
            <w:r>
              <w:rPr>
                <w:rFonts w:hint="eastAsia" w:ascii="宋体" w:hAnsi="宋体" w:eastAsia="宋体"/>
                <w:szCs w:val="21"/>
                <w:highlight w:val="none"/>
              </w:rPr>
              <w:t>测试规范及脚本适配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6</w:t>
            </w:r>
            <w:r>
              <w:rPr>
                <w:rFonts w:ascii="宋体" w:hAnsi="宋体" w:eastAsia="宋体" w:cs="宋体"/>
                <w:position w:val="1"/>
                <w:szCs w:val="21"/>
                <w:highlight w:val="none"/>
              </w:rPr>
              <w:t>4</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DoIP测试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65</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以太网刷写测试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66</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以太网UDS测试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67</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以太网路由测试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68</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以太网UDPNM网络管理测试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69</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以太网AVB测试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7</w:t>
            </w:r>
            <w:r>
              <w:rPr>
                <w:rFonts w:ascii="宋体" w:hAnsi="宋体" w:eastAsia="宋体" w:cs="宋体"/>
                <w:position w:val="1"/>
                <w:szCs w:val="21"/>
                <w:highlight w:val="none"/>
              </w:rPr>
              <w:t>0</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以太网TSN测试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7</w:t>
            </w:r>
            <w:r>
              <w:rPr>
                <w:rFonts w:ascii="宋体" w:hAnsi="宋体" w:eastAsia="宋体" w:cs="宋体"/>
                <w:position w:val="1"/>
                <w:szCs w:val="21"/>
                <w:highlight w:val="none"/>
              </w:rPr>
              <w:t>1</w:t>
            </w:r>
          </w:p>
        </w:tc>
        <w:tc>
          <w:tcPr>
            <w:tcW w:w="4426" w:type="dxa"/>
          </w:tcPr>
          <w:p>
            <w:pPr>
              <w:rPr>
                <w:rFonts w:ascii="宋体" w:hAnsi="宋体" w:eastAsia="宋体" w:cs="宋体"/>
                <w:szCs w:val="21"/>
                <w:highlight w:val="none"/>
              </w:rPr>
            </w:pPr>
            <w:r>
              <w:rPr>
                <w:rFonts w:hint="eastAsia" w:ascii="宋体" w:hAnsi="宋体" w:eastAsia="宋体" w:cs="Times New Roman"/>
                <w:szCs w:val="21"/>
                <w:highlight w:val="none"/>
              </w:rPr>
              <w:t>以太网台架系统测试</w:t>
            </w:r>
            <w:r>
              <w:rPr>
                <w:rFonts w:hint="eastAsia" w:ascii="宋体" w:hAnsi="宋体" w:eastAsia="宋体"/>
                <w:szCs w:val="21"/>
                <w:highlight w:val="none"/>
              </w:rPr>
              <w:t>规范及脚本适配</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672" w:type="dxa"/>
          </w:tcPr>
          <w:p>
            <w:pPr>
              <w:spacing w:before="79" w:line="284" w:lineRule="exact"/>
              <w:ind w:left="249"/>
              <w:rPr>
                <w:rFonts w:ascii="宋体" w:hAnsi="宋体" w:eastAsia="宋体" w:cs="宋体"/>
                <w:position w:val="1"/>
                <w:szCs w:val="21"/>
                <w:highlight w:val="none"/>
              </w:rPr>
            </w:pPr>
            <w:r>
              <w:rPr>
                <w:rFonts w:hint="eastAsia" w:ascii="宋体" w:hAnsi="宋体" w:eastAsia="宋体" w:cs="宋体"/>
                <w:position w:val="1"/>
                <w:szCs w:val="21"/>
                <w:highlight w:val="none"/>
              </w:rPr>
              <w:t>7</w:t>
            </w:r>
            <w:r>
              <w:rPr>
                <w:rFonts w:ascii="宋体" w:hAnsi="宋体" w:eastAsia="宋体" w:cs="宋体"/>
                <w:position w:val="1"/>
                <w:szCs w:val="21"/>
                <w:highlight w:val="none"/>
              </w:rPr>
              <w:t>2</w:t>
            </w:r>
          </w:p>
        </w:tc>
        <w:tc>
          <w:tcPr>
            <w:tcW w:w="4426" w:type="dxa"/>
          </w:tcPr>
          <w:p>
            <w:pPr>
              <w:rPr>
                <w:rFonts w:ascii="宋体" w:hAnsi="宋体" w:eastAsia="宋体" w:cs="宋体"/>
                <w:szCs w:val="21"/>
                <w:highlight w:val="none"/>
              </w:rPr>
            </w:pP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w:t>
            </w:r>
          </w:p>
        </w:tc>
        <w:tc>
          <w:tcPr>
            <w:tcW w:w="4426" w:type="dxa"/>
          </w:tcPr>
          <w:p>
            <w:pPr>
              <w:rPr>
                <w:rFonts w:ascii="宋体" w:hAnsi="宋体" w:eastAsia="宋体"/>
                <w:szCs w:val="21"/>
                <w:highlight w:val="none"/>
              </w:rPr>
            </w:pP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position w:val="1"/>
                <w:szCs w:val="21"/>
                <w:highlight w:val="none"/>
              </w:rPr>
            </w:pPr>
            <w:r>
              <w:rPr>
                <w:rFonts w:ascii="宋体" w:hAnsi="宋体" w:eastAsia="宋体" w:cs="宋体"/>
                <w:position w:val="1"/>
                <w:szCs w:val="21"/>
                <w:highlight w:val="none"/>
              </w:rPr>
              <w:t>…</w:t>
            </w:r>
          </w:p>
        </w:tc>
        <w:tc>
          <w:tcPr>
            <w:tcW w:w="4426" w:type="dxa"/>
          </w:tcPr>
          <w:p>
            <w:pPr>
              <w:rPr>
                <w:rFonts w:ascii="宋体" w:hAnsi="宋体" w:eastAsia="宋体" w:cs="宋体"/>
                <w:szCs w:val="21"/>
                <w:highlight w:val="none"/>
              </w:rPr>
            </w:pPr>
            <w:r>
              <w:rPr>
                <w:rFonts w:hint="eastAsia" w:ascii="宋体" w:hAnsi="宋体" w:eastAsia="宋体" w:cs="宋体"/>
                <w:szCs w:val="21"/>
                <w:highlight w:val="none"/>
              </w:rPr>
              <w:t>以上仅作为报价模板样例，具体以实际技术方案内容自行更改和补充。</w:t>
            </w:r>
          </w:p>
        </w:tc>
        <w:tc>
          <w:tcPr>
            <w:tcW w:w="1276" w:type="dxa"/>
          </w:tcPr>
          <w:p>
            <w:pPr>
              <w:rPr>
                <w:rFonts w:ascii="Arial"/>
                <w:highlight w:val="none"/>
              </w:rPr>
            </w:pPr>
          </w:p>
        </w:tc>
        <w:tc>
          <w:tcPr>
            <w:tcW w:w="1134" w:type="dxa"/>
          </w:tcPr>
          <w:p>
            <w:pPr>
              <w:jc w:val="center"/>
              <w:rPr>
                <w:rFonts w:ascii="Arial"/>
                <w:highlight w:val="none"/>
              </w:rPr>
            </w:pPr>
          </w:p>
        </w:tc>
        <w:tc>
          <w:tcPr>
            <w:tcW w:w="1559" w:type="dxa"/>
          </w:tcPr>
          <w:p>
            <w:pPr>
              <w:rPr>
                <w:rFonts w:ascii="Arial"/>
                <w:highlight w:val="none"/>
              </w:rPr>
            </w:pPr>
          </w:p>
        </w:tc>
        <w:tc>
          <w:tcPr>
            <w:tcW w:w="1701" w:type="dxa"/>
            <w:tcBorders>
              <w:right w:val="single" w:color="000000" w:sz="4" w:space="0"/>
            </w:tcBorders>
          </w:tcPr>
          <w:p>
            <w:pPr>
              <w:rPr>
                <w:rFonts w:ascii="Arial"/>
                <w:highlight w:val="none"/>
              </w:rPr>
            </w:pP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68" w:type="dxa"/>
            <w:gridSpan w:val="6"/>
            <w:tcBorders>
              <w:right w:val="single" w:color="000000" w:sz="4" w:space="0"/>
            </w:tcBorders>
          </w:tcPr>
          <w:p>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37" w:type="dxa"/>
            <w:tcBorders>
              <w:left w:val="single" w:color="000000" w:sz="4" w:space="0"/>
            </w:tcBorders>
          </w:tcPr>
          <w:p>
            <w:pPr>
              <w:rPr>
                <w:rFonts w:ascii="Arial"/>
                <w:highlight w:val="none"/>
              </w:rPr>
            </w:pPr>
          </w:p>
        </w:tc>
        <w:tc>
          <w:tcPr>
            <w:tcW w:w="1069" w:type="dxa"/>
          </w:tcPr>
          <w:p>
            <w:pPr>
              <w:rPr>
                <w:rFonts w:ascii="Arial"/>
                <w:highlight w:val="none"/>
              </w:rPr>
            </w:pPr>
          </w:p>
        </w:tc>
      </w:tr>
    </w:tbl>
    <w:p>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pPr>
        <w:spacing w:line="105" w:lineRule="exact"/>
        <w:rPr>
          <w:highlight w:val="none"/>
        </w:rPr>
      </w:pPr>
    </w:p>
    <w:p>
      <w:pPr>
        <w:rPr>
          <w:highlight w:val="none"/>
        </w:rPr>
        <w:sectPr>
          <w:footerReference r:id="rId27" w:type="default"/>
          <w:pgSz w:w="16841" w:h="11907" w:orient="landscape"/>
          <w:pgMar w:top="400" w:right="1387" w:bottom="1168" w:left="1473" w:header="0" w:footer="990" w:gutter="0"/>
          <w:pgNumType w:fmt="decimal"/>
          <w:cols w:equalWidth="0" w:num="1">
            <w:col w:w="13980"/>
          </w:cols>
        </w:sectPr>
      </w:pPr>
    </w:p>
    <w:p>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highlight w:val="none"/>
        </w:rPr>
        <w:t>授</w:t>
      </w:r>
      <w:r>
        <w:rPr>
          <w:rFonts w:hint="eastAsia" w:ascii="宋体" w:hAnsi="宋体" w:eastAsia="宋体" w:cs="宋体"/>
          <w:spacing w:val="-2"/>
          <w:sz w:val="24"/>
          <w:szCs w:val="24"/>
        </w:rPr>
        <w:t>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rPr>
              <w:t>...</w:t>
            </w:r>
          </w:p>
        </w:tc>
        <w:tc>
          <w:tcPr>
            <w:tcW w:w="3530" w:type="dxa"/>
          </w:tcPr>
          <w:p>
            <w:pPr>
              <w:keepNext w:val="0"/>
              <w:keepLines w:val="0"/>
              <w:pageBreakBefore w:val="0"/>
              <w:widowControl w:val="0"/>
              <w:kinsoku/>
              <w:wordWrap/>
              <w:overflowPunct/>
              <w:topLinePunct w:val="0"/>
              <w:autoSpaceDE/>
              <w:autoSpaceDN/>
              <w:bidi w:val="0"/>
              <w:adjustRightInd/>
              <w:snapToGrid/>
              <w:spacing w:before="211" w:line="221" w:lineRule="auto"/>
              <w:ind w:left="0"/>
              <w:jc w:val="center"/>
              <w:textAlignment w:val="auto"/>
              <w:rPr>
                <w:rFonts w:ascii="宋体" w:hAnsi="宋体" w:eastAsia="宋体" w:cs="宋体"/>
                <w:szCs w:val="21"/>
              </w:rPr>
            </w:pPr>
            <w:r>
              <w:rPr>
                <w:rFonts w:hint="eastAsia" w:ascii="宋体" w:hAnsi="宋体" w:eastAsia="宋体" w:cs="宋体"/>
                <w:szCs w:val="21"/>
              </w:rPr>
              <w:t>以上不足之处请往下添加序号自行补充</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8"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20" w:lineRule="exact"/>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710"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pacing w:val="-1"/>
                <w:szCs w:val="21"/>
              </w:rPr>
              <w:t>现场指导安装</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hint="default" w:ascii="宋体" w:hAnsi="宋体" w:eastAsia="宋体" w:cs="宋体"/>
                <w:spacing w:val="-2"/>
                <w:szCs w:val="21"/>
                <w:lang w:val="en-US" w:eastAsia="zh-CN"/>
              </w:rPr>
            </w:pPr>
            <w:r>
              <w:rPr>
                <w:rFonts w:hint="eastAsia" w:ascii="宋体" w:hAnsi="宋体" w:eastAsia="宋体" w:cs="宋体"/>
                <w:spacing w:val="-2"/>
                <w:szCs w:val="21"/>
                <w:lang w:val="en-US" w:eastAsia="zh-CN"/>
              </w:rPr>
              <w:t>2</w:t>
            </w: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710"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Cs w:val="21"/>
              </w:rPr>
              <w:t>设备操作培训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lang w:val="en-US" w:eastAsia="zh-CN"/>
              </w:rPr>
            </w:pPr>
            <w:r>
              <w:rPr>
                <w:rFonts w:hint="eastAsia" w:ascii="宋体" w:hAnsi="宋体" w:eastAsia="宋体" w:cs="宋体"/>
                <w:spacing w:val="-2"/>
                <w:szCs w:val="21"/>
                <w:lang w:val="en-US" w:eastAsia="zh-CN"/>
              </w:rPr>
              <w:t>5</w:t>
            </w: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710" w:type="dxa"/>
          </w:tcPr>
          <w:p>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vAlign w:val="center"/>
          </w:tcPr>
          <w:p>
            <w:pPr>
              <w:jc w:val="center"/>
              <w:rPr>
                <w:rFonts w:ascii="宋体" w:hAnsi="宋体" w:eastAsia="宋体" w:cs="宋体"/>
                <w:kern w:val="2"/>
                <w:sz w:val="21"/>
                <w:szCs w:val="21"/>
                <w:lang w:val="en-US" w:eastAsia="zh-CN" w:bidi="ar-SA"/>
              </w:rPr>
            </w:pPr>
            <w:r>
              <w:rPr>
                <w:rFonts w:hint="eastAsia" w:ascii="宋体" w:hAnsi="宋体" w:eastAsia="宋体" w:cs="宋体"/>
                <w:szCs w:val="21"/>
                <w:lang w:bidi="ar"/>
              </w:rPr>
              <w:t>企业管理费</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hint="default" w:ascii="宋体" w:hAnsi="宋体" w:eastAsia="宋体" w:cs="宋体"/>
                <w:spacing w:val="-2"/>
                <w:szCs w:val="21"/>
                <w:lang w:val="en-US" w:eastAsia="zh-CN"/>
              </w:rPr>
            </w:pPr>
            <w:r>
              <w:rPr>
                <w:rFonts w:hint="eastAsia" w:ascii="宋体" w:hAnsi="宋体" w:eastAsia="宋体" w:cs="宋体"/>
                <w:spacing w:val="-2"/>
                <w:szCs w:val="21"/>
                <w:lang w:val="en-US" w:eastAsia="zh-CN"/>
              </w:rPr>
              <w:t>21</w:t>
            </w: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tcPr>
          <w:p>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vAlign w:val="center"/>
          </w:tcPr>
          <w:p>
            <w:pPr>
              <w:jc w:val="center"/>
              <w:rPr>
                <w:rFonts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首次检定</w:t>
            </w:r>
            <w:r>
              <w:rPr>
                <w:rFonts w:hint="eastAsia" w:ascii="宋体" w:hAnsi="宋体" w:eastAsia="宋体" w:cs="宋体"/>
                <w:szCs w:val="21"/>
                <w:highlight w:val="none"/>
                <w:lang w:eastAsia="zh-CN"/>
              </w:rPr>
              <w:t>和</w:t>
            </w:r>
            <w:r>
              <w:rPr>
                <w:rFonts w:hint="eastAsia" w:ascii="宋体" w:hAnsi="宋体" w:eastAsia="宋体" w:cs="宋体"/>
                <w:szCs w:val="21"/>
                <w:highlight w:val="none"/>
              </w:rPr>
              <w:t>校准证书</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0" w:type="dxa"/>
          </w:tcPr>
          <w:p>
            <w:pPr>
              <w:spacing w:before="306" w:line="182" w:lineRule="auto"/>
              <w:ind w:left="432"/>
              <w:rPr>
                <w:rFonts w:hint="eastAsia" w:ascii="宋体" w:hAnsi="宋体" w:eastAsia="宋体" w:cs="宋体"/>
                <w:szCs w:val="21"/>
                <w:lang w:val="en-US" w:eastAsia="zh-CN"/>
              </w:rPr>
            </w:pPr>
          </w:p>
        </w:tc>
        <w:tc>
          <w:tcPr>
            <w:tcW w:w="3625" w:type="dxa"/>
            <w:vAlign w:val="top"/>
          </w:tcPr>
          <w:p>
            <w:pPr>
              <w:keepNext w:val="0"/>
              <w:keepLines w:val="0"/>
              <w:pageBreakBefore w:val="0"/>
              <w:widowControl w:val="0"/>
              <w:kinsoku/>
              <w:wordWrap/>
              <w:overflowPunct/>
              <w:topLinePunct w:val="0"/>
              <w:autoSpaceDE/>
              <w:autoSpaceDN/>
              <w:bidi w:val="0"/>
              <w:adjustRightInd/>
              <w:snapToGrid/>
              <w:spacing w:line="221" w:lineRule="auto"/>
              <w:jc w:val="center"/>
              <w:textAlignment w:val="auto"/>
              <w:rPr>
                <w:rFonts w:ascii="宋体" w:hAnsi="宋体" w:eastAsia="宋体" w:cs="宋体"/>
                <w:spacing w:val="-1"/>
                <w:szCs w:val="21"/>
              </w:rPr>
            </w:pPr>
            <w:r>
              <w:rPr>
                <w:rFonts w:ascii="宋体" w:hAnsi="宋体" w:eastAsia="宋体" w:cs="宋体"/>
                <w:spacing w:val="-1"/>
                <w:szCs w:val="21"/>
              </w:rPr>
              <w:t>.......以上不足之处请往下添加序号自行补充</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9" w:type="default"/>
          <w:pgSz w:w="16841" w:h="11907"/>
          <w:pgMar w:top="400" w:right="1699" w:bottom="1184" w:left="1481" w:header="0" w:footer="1022" w:gutter="0"/>
          <w:pgNumType w:fmt="decimal"/>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rPr>
        <w:t xml:space="preserve">      </w:t>
      </w:r>
      <w:r>
        <w:rPr>
          <w:rFonts w:hint="eastAsia" w:ascii="宋体" w:hAnsi="宋体" w:eastAsia="宋体" w:cs="宋体"/>
          <w:spacing w:val="-1"/>
          <w:szCs w:val="21"/>
          <w:lang w:val="en-US" w:eastAsia="zh-CN"/>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765"/>
        <w:gridCol w:w="1878"/>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765"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878"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50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76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87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 w:hRule="atLeast"/>
        </w:trPr>
        <w:tc>
          <w:tcPr>
            <w:tcW w:w="509" w:type="dxa"/>
            <w:vAlign w:val="center"/>
          </w:tcPr>
          <w:p>
            <w:pPr>
              <w:spacing w:before="237" w:line="186" w:lineRule="auto"/>
              <w:ind w:left="223"/>
              <w:jc w:val="both"/>
              <w:rPr>
                <w:rFonts w:ascii="宋体" w:hAnsi="宋体" w:eastAsia="宋体" w:cs="宋体"/>
                <w:szCs w:val="21"/>
              </w:rPr>
            </w:pPr>
            <w:r>
              <w:rPr>
                <w:rFonts w:ascii="宋体" w:hAnsi="宋体" w:eastAsia="宋体" w:cs="宋体"/>
                <w:szCs w:val="21"/>
              </w:rPr>
              <w:t>1</w:t>
            </w:r>
          </w:p>
        </w:tc>
        <w:tc>
          <w:tcPr>
            <w:tcW w:w="2765" w:type="dxa"/>
            <w:vAlign w:val="center"/>
          </w:tcPr>
          <w:p>
            <w:pPr>
              <w:pStyle w:val="126"/>
              <w:spacing w:before="60" w:after="60"/>
              <w:jc w:val="center"/>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 w:hRule="atLeast"/>
        </w:trPr>
        <w:tc>
          <w:tcPr>
            <w:tcW w:w="509" w:type="dxa"/>
            <w:vAlign w:val="center"/>
          </w:tcPr>
          <w:p>
            <w:pPr>
              <w:spacing w:before="239" w:line="185" w:lineRule="auto"/>
              <w:ind w:left="210"/>
              <w:jc w:val="both"/>
              <w:rPr>
                <w:rFonts w:ascii="宋体" w:hAnsi="宋体" w:eastAsia="宋体" w:cs="宋体"/>
                <w:szCs w:val="21"/>
              </w:rPr>
            </w:pPr>
            <w:r>
              <w:rPr>
                <w:rFonts w:ascii="宋体" w:hAnsi="宋体" w:eastAsia="宋体" w:cs="宋体"/>
                <w:szCs w:val="21"/>
              </w:rPr>
              <w:t>2</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3</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4</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5</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6</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7</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8</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center"/>
          </w:tcPr>
          <w:p>
            <w:pPr>
              <w:jc w:val="cente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eastAsia" w:ascii="Arial" w:eastAsiaTheme="minorEastAsia"/>
                <w:lang w:val="en-US" w:eastAsia="zh-CN"/>
              </w:rPr>
            </w:pPr>
            <w:r>
              <w:rPr>
                <w:rFonts w:hint="eastAsia" w:ascii="Arial"/>
                <w:lang w:val="en-US" w:eastAsia="zh-CN"/>
              </w:rPr>
              <w:t>9</w:t>
            </w:r>
          </w:p>
        </w:tc>
        <w:tc>
          <w:tcPr>
            <w:tcW w:w="2765" w:type="dxa"/>
            <w:vAlign w:val="center"/>
          </w:tcPr>
          <w:p>
            <w:pPr>
              <w:pStyle w:val="126"/>
              <w:spacing w:before="60" w:after="60"/>
              <w:rPr>
                <w:rFonts w:ascii="宋体" w:hAnsi="宋体" w:eastAsia="宋体" w:cs="宋体"/>
                <w:kern w:val="2"/>
                <w:sz w:val="21"/>
                <w:szCs w:val="21"/>
                <w:lang w:val="en-US" w:eastAsia="zh-CN" w:bidi="ar-SA"/>
              </w:rPr>
            </w:pPr>
          </w:p>
        </w:tc>
        <w:tc>
          <w:tcPr>
            <w:tcW w:w="1878" w:type="dxa"/>
            <w:vAlign w:val="top"/>
          </w:tcPr>
          <w:p>
            <w:pPr>
              <w:ind w:firstLine="420" w:firstLineChars="200"/>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9" w:type="dxa"/>
            <w:vAlign w:val="center"/>
          </w:tcPr>
          <w:p>
            <w:pPr>
              <w:jc w:val="center"/>
              <w:rPr>
                <w:rFonts w:hint="default" w:ascii="Arial" w:eastAsiaTheme="minorEastAsia"/>
                <w:lang w:val="en-US" w:eastAsia="zh-CN"/>
              </w:rPr>
            </w:pPr>
            <w:r>
              <w:rPr>
                <w:rFonts w:hint="eastAsia" w:ascii="Arial"/>
                <w:lang w:val="en-US" w:eastAsia="zh-CN"/>
              </w:rPr>
              <w:t>10</w:t>
            </w:r>
          </w:p>
        </w:tc>
        <w:tc>
          <w:tcPr>
            <w:tcW w:w="2765" w:type="dxa"/>
            <w:vAlign w:val="center"/>
          </w:tcPr>
          <w:p>
            <w:pPr>
              <w:pStyle w:val="126"/>
              <w:spacing w:before="60" w:after="60"/>
              <w:rPr>
                <w:rFonts w:ascii="宋体" w:hAnsi="宋体" w:eastAsia="宋体" w:cs="宋体"/>
                <w:kern w:val="0"/>
                <w:sz w:val="21"/>
                <w:szCs w:val="21"/>
                <w:lang w:val="en-US" w:eastAsia="zh-CN" w:bidi="ar-SA"/>
              </w:rPr>
            </w:pPr>
          </w:p>
        </w:tc>
        <w:tc>
          <w:tcPr>
            <w:tcW w:w="1878" w:type="dxa"/>
            <w:vAlign w:val="top"/>
          </w:tcPr>
          <w:p>
            <w:pPr>
              <w:rPr>
                <w:rFonts w:ascii="Arial" w:hAnsiTheme="minorHAnsi" w:eastAsiaTheme="minorEastAsia" w:cstheme="minorBidi"/>
                <w:kern w:val="2"/>
                <w:sz w:val="21"/>
                <w:szCs w:val="22"/>
                <w:lang w:val="en-US" w:eastAsia="zh-CN" w:bidi="ar-SA"/>
              </w:rPr>
            </w:pPr>
          </w:p>
        </w:tc>
        <w:tc>
          <w:tcPr>
            <w:tcW w:w="840" w:type="dxa"/>
            <w:vAlign w:val="center"/>
          </w:tcPr>
          <w:p>
            <w:pPr>
              <w:spacing w:line="360" w:lineRule="auto"/>
              <w:jc w:val="center"/>
              <w:textAlignment w:val="center"/>
              <w:rPr>
                <w:rFonts w:ascii="宋体" w:hAnsi="宋体" w:eastAsia="宋体" w:cs="宋体"/>
                <w:kern w:val="2"/>
                <w:sz w:val="21"/>
                <w:szCs w:val="21"/>
                <w:lang w:val="en-US" w:eastAsia="zh-CN" w:bidi="ar-SA"/>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trPr>
        <w:tc>
          <w:tcPr>
            <w:tcW w:w="9729" w:type="dxa"/>
            <w:gridSpan w:val="6"/>
            <w:vAlign w:val="center"/>
          </w:tcPr>
          <w:p>
            <w:pPr>
              <w:spacing w:before="207" w:line="219" w:lineRule="auto"/>
              <w:ind w:left="3416"/>
              <w:jc w:val="both"/>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vAlign w:val="center"/>
          </w:tcPr>
          <w:p>
            <w:pPr>
              <w:spacing w:before="207" w:line="219" w:lineRule="auto"/>
              <w:jc w:val="both"/>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w:t>
            </w:r>
            <w:r>
              <w:rPr>
                <w:rFonts w:hint="eastAsia" w:ascii="宋体" w:hAnsi="宋体" w:eastAsia="宋体" w:cs="宋体"/>
                <w:b/>
                <w:bCs/>
                <w:szCs w:val="21"/>
                <w:lang w:val="en-US" w:eastAsia="zh-CN"/>
              </w:rPr>
              <w:t xml:space="preserve">           </w:t>
            </w:r>
            <w:r>
              <w:rPr>
                <w:rFonts w:ascii="宋体" w:hAnsi="宋体" w:eastAsia="宋体" w:cs="宋体"/>
                <w:b/>
                <w:bCs/>
                <w:szCs w:val="21"/>
              </w:rPr>
              <w:t>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0" w:type="default"/>
          <w:pgSz w:w="16841" w:h="11907"/>
          <w:pgMar w:top="400" w:right="1500" w:bottom="1184" w:left="1480" w:header="0" w:footer="1022" w:gutter="0"/>
          <w:pgNumType w:fmt="decimal"/>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keepNext w:val="0"/>
        <w:keepLines w:val="0"/>
        <w:pageBreakBefore w:val="0"/>
        <w:widowControl w:val="0"/>
        <w:kinsoku/>
        <w:wordWrap/>
        <w:overflowPunct/>
        <w:topLinePunct w:val="0"/>
        <w:autoSpaceDE/>
        <w:autoSpaceDN/>
        <w:bidi w:val="0"/>
        <w:adjustRightInd/>
        <w:snapToGrid/>
        <w:spacing w:before="24" w:line="221" w:lineRule="auto"/>
        <w:ind w:left="0" w:firstLine="0" w:firstLineChars="0"/>
        <w:jc w:val="right"/>
        <w:textAlignment w:val="auto"/>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u w:val="none"/>
          <w:lang w:eastAsia="zh-CN"/>
          <w14:textOutline w14:w="3835" w14:cap="flat" w14:cmpd="sng" w14:algn="ctr">
            <w14:solidFill>
              <w14:srgbClr w14:val="000000"/>
            </w14:solidFill>
            <w14:prstDash w14:val="solid"/>
            <w14:miter w14:val="0"/>
          </w14:textOutline>
        </w:rPr>
        <w:t>CGZX2023040251</w:t>
      </w:r>
      <w:r>
        <w:rPr>
          <w:rFonts w:ascii="宋体" w:hAnsi="宋体" w:eastAsia="宋体" w:cs="宋体"/>
          <w:spacing w:val="-1"/>
          <w:szCs w:val="21"/>
        </w:rPr>
        <w:t xml:space="preserve">  </w:t>
      </w:r>
      <w:r>
        <w:rPr>
          <w:rFonts w:hint="eastAsia" w:ascii="宋体" w:hAnsi="宋体" w:eastAsia="宋体" w:cs="宋体"/>
          <w:spacing w:val="-1"/>
          <w:szCs w:val="21"/>
          <w:lang w:val="en-US" w:eastAsia="zh-CN"/>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keepNext w:val="0"/>
        <w:keepLines w:val="0"/>
        <w:pageBreakBefore w:val="0"/>
        <w:widowControl w:val="0"/>
        <w:kinsoku/>
        <w:wordWrap/>
        <w:overflowPunct/>
        <w:topLinePunct w:val="0"/>
        <w:autoSpaceDE/>
        <w:autoSpaceDN/>
        <w:bidi w:val="0"/>
        <w:adjustRightInd/>
        <w:snapToGrid/>
        <w:spacing w:line="127" w:lineRule="exact"/>
        <w:ind w:left="0" w:firstLine="0" w:firstLineChars="0"/>
        <w:textAlignment w:val="auto"/>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Borders>
              <w:bottom w:val="single" w:color="auto" w:sz="4" w:space="0"/>
            </w:tcBorders>
          </w:tcPr>
          <w:p>
            <w:pPr>
              <w:rPr>
                <w:rFonts w:ascii="Arial"/>
              </w:rPr>
            </w:pPr>
          </w:p>
        </w:tc>
        <w:tc>
          <w:tcPr>
            <w:tcW w:w="3362" w:type="dxa"/>
            <w:tcBorders>
              <w:bottom w:val="single" w:color="auto" w:sz="4" w:space="0"/>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nil"/>
              <w:bottom w:val="single" w:color="auto" w:sz="4" w:space="0"/>
              <w:right w:val="single" w:color="auto" w:sz="4" w:space="0"/>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Borders>
              <w:right w:val="single" w:color="auto" w:sz="4" w:space="0"/>
            </w:tcBorders>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top w:val="single" w:color="auto" w:sz="4" w:space="0"/>
              <w:left w:val="single" w:color="auto" w:sz="4" w:space="0"/>
              <w:bottom w:val="single" w:color="auto" w:sz="4" w:space="0"/>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top w:val="single" w:color="auto" w:sz="4" w:space="0"/>
              <w:left w:val="nil"/>
              <w:bottom w:val="single" w:color="auto" w:sz="4" w:space="0"/>
              <w:right w:val="single" w:color="auto" w:sz="4" w:space="0"/>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31"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7"/>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宋体"/>
          <w:spacing w:val="-5"/>
          <w:sz w:val="24"/>
          <w:szCs w:val="24"/>
          <w:u w:val="single"/>
        </w:rPr>
        <w:t xml:space="preserve"> </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2"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val="0"/>
          <w:bCs w:val="0"/>
          <w:color w:val="000000"/>
          <w:sz w:val="24"/>
          <w:szCs w:val="24"/>
          <w:u w:val="single"/>
          <w:lang w:eastAsia="zh-CN"/>
        </w:rPr>
        <w:t>车载网络测试系统项目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7"/>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r>
              <w:rPr>
                <w:rFonts w:hint="eastAsia" w:ascii="宋体" w:hAnsi="宋体" w:eastAsia="宋体" w:cs="Times New Roman"/>
                <w:b w:val="0"/>
                <w:bCs w:val="0"/>
                <w:color w:val="000000"/>
                <w:sz w:val="24"/>
                <w:szCs w:val="24"/>
                <w:u w:val="single"/>
                <w:lang w:eastAsia="zh-CN"/>
              </w:rPr>
              <w:t>车载网络测试系统项目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4" w:type="first"/>
          <w:footerReference r:id="rId36" w:type="first"/>
          <w:headerReference r:id="rId33" w:type="default"/>
          <w:footerReference r:id="rId35" w:type="default"/>
          <w:pgSz w:w="11906" w:h="16838"/>
          <w:pgMar w:top="1588" w:right="1418" w:bottom="1134" w:left="1418" w:header="851" w:footer="992" w:gutter="0"/>
          <w:pgNumType w:fmt="decimal"/>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100</w:t>
      </w:r>
      <w:r>
        <w:rPr>
          <w:rFonts w:hint="eastAsia" w:ascii="宋体" w:hAnsi="宋体" w:eastAsia="宋体" w:cs="Times New Roman"/>
          <w:b/>
          <w:bCs/>
          <w:sz w:val="24"/>
          <w:szCs w:val="24"/>
          <w:highlight w:val="none"/>
        </w:rPr>
        <w:t>分）</w:t>
      </w:r>
    </w:p>
    <w:tbl>
      <w:tblPr>
        <w:tblStyle w:val="37"/>
        <w:tblW w:w="13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528"/>
        <w:gridCol w:w="3230"/>
        <w:gridCol w:w="598"/>
        <w:gridCol w:w="8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2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ascii="宋体" w:hAnsi="宋体" w:eastAsia="宋体" w:cs="Times New Roman"/>
                <w:b/>
                <w:sz w:val="24"/>
                <w:szCs w:val="24"/>
              </w:rPr>
            </w:pPr>
            <w:r>
              <w:rPr>
                <w:rFonts w:hint="eastAsia" w:ascii="宋体" w:hAnsi="宋体" w:eastAsia="宋体" w:cs="Times New Roman"/>
                <w:b/>
                <w:sz w:val="24"/>
                <w:szCs w:val="24"/>
              </w:rPr>
              <w:t>评审内容</w:t>
            </w:r>
          </w:p>
        </w:tc>
        <w:tc>
          <w:tcPr>
            <w:tcW w:w="52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3230"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59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8295"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ind w:right="-6"/>
              <w:jc w:val="center"/>
              <w:textAlignment w:val="auto"/>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1" w:hRule="atLeast"/>
          <w:jc w:val="center"/>
        </w:trPr>
        <w:tc>
          <w:tcPr>
            <w:tcW w:w="52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业绩</w:t>
            </w:r>
          </w:p>
        </w:tc>
        <w:tc>
          <w:tcPr>
            <w:tcW w:w="52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ascii="宋体" w:hAnsi="宋体" w:eastAsia="宋体" w:cs="Times New Roman"/>
                <w:sz w:val="21"/>
                <w:szCs w:val="21"/>
              </w:rPr>
              <w:t>1</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sz w:val="21"/>
                <w:szCs w:val="21"/>
              </w:rPr>
            </w:pPr>
            <w:r>
              <w:rPr>
                <w:rFonts w:hint="eastAsia" w:ascii="宋体" w:hAnsi="宋体" w:eastAsia="宋体" w:cs="Times New Roman"/>
                <w:sz w:val="21"/>
                <w:szCs w:val="21"/>
              </w:rPr>
              <w:t>供方同类型项目业绩，行业项目经验</w:t>
            </w:r>
          </w:p>
        </w:tc>
        <w:tc>
          <w:tcPr>
            <w:tcW w:w="598" w:type="dxa"/>
            <w:vAlign w:val="center"/>
          </w:tcPr>
          <w:p>
            <w:pPr>
              <w:keepNext w:val="0"/>
              <w:keepLines w:val="0"/>
              <w:pageBreakBefore w:val="0"/>
              <w:widowControl w:val="0"/>
              <w:tabs>
                <w:tab w:val="left" w:pos="13965"/>
              </w:tabs>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8</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Cs/>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8</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4</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Cs/>
                <w:sz w:val="21"/>
                <w:szCs w:val="21"/>
              </w:rPr>
            </w:pPr>
            <w:r>
              <w:rPr>
                <w:rFonts w:hint="eastAsia" w:ascii="宋体" w:hAnsi="宋体" w:eastAsia="宋体" w:cs="Times New Roman"/>
                <w:bCs/>
                <w:sz w:val="21"/>
                <w:szCs w:val="21"/>
              </w:rPr>
              <w:t>投标人在201</w:t>
            </w:r>
            <w:r>
              <w:rPr>
                <w:rFonts w:ascii="宋体" w:hAnsi="宋体" w:eastAsia="宋体" w:cs="Times New Roman"/>
                <w:bCs/>
                <w:sz w:val="21"/>
                <w:szCs w:val="21"/>
              </w:rPr>
              <w:t>9</w:t>
            </w:r>
            <w:r>
              <w:rPr>
                <w:rFonts w:hint="eastAsia" w:ascii="宋体" w:hAnsi="宋体" w:eastAsia="宋体" w:cs="Times New Roman"/>
                <w:bCs/>
                <w:sz w:val="21"/>
                <w:szCs w:val="21"/>
              </w:rPr>
              <w:t>年1月1日以来在中国与本标同类项目的业绩（以合同复印件加盖公章为准，时间以签订日期为准），同类项目中测试用例的覆盖度（以测试用例展示及测试报告输出为准）。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产品技术</w:t>
            </w: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ascii="宋体" w:hAnsi="宋体" w:eastAsia="宋体" w:cs="Times New Roman"/>
                <w:sz w:val="21"/>
                <w:szCs w:val="21"/>
              </w:rPr>
              <w:t>2</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bCs/>
                <w:sz w:val="21"/>
                <w:szCs w:val="21"/>
              </w:rPr>
            </w:pPr>
            <w:r>
              <w:rPr>
                <w:rFonts w:hint="eastAsia" w:ascii="宋体" w:hAnsi="宋体" w:eastAsia="宋体" w:cs="Times New Roman"/>
                <w:bCs/>
                <w:sz w:val="21"/>
                <w:szCs w:val="21"/>
              </w:rPr>
              <w:t>供方设备集成能力、软件开饭能力、完善程度</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4</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4</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分，一般得</w:t>
            </w:r>
            <w:r>
              <w:rPr>
                <w:rFonts w:ascii="宋体" w:hAnsi="Times New Roman" w:eastAsia="宋体" w:cs="Times New Roman"/>
                <w:bCs/>
                <w:sz w:val="21"/>
                <w:szCs w:val="21"/>
              </w:rPr>
              <w:t>0</w:t>
            </w:r>
            <w:r>
              <w:rPr>
                <w:rFonts w:hint="eastAsia" w:ascii="宋体" w:hAnsi="宋体" w:eastAsia="宋体" w:cs="Times New Roman"/>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3</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bCs/>
                <w:sz w:val="21"/>
                <w:szCs w:val="21"/>
              </w:rPr>
            </w:pPr>
            <w:r>
              <w:rPr>
                <w:rFonts w:hint="eastAsia" w:ascii="宋体" w:hAnsi="宋体" w:eastAsia="宋体" w:cs="Times New Roman"/>
                <w:bCs/>
                <w:sz w:val="21"/>
                <w:szCs w:val="21"/>
              </w:rPr>
              <w:t>产品方案技术先进、各系统完善、性能可靠，设备主要核心部件，具备自身技术优势</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30</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sz w:val="21"/>
                <w:szCs w:val="21"/>
              </w:rPr>
            </w:pPr>
            <w:r>
              <w:rPr>
                <w:rFonts w:hint="eastAsia" w:ascii="宋体" w:hAnsi="宋体" w:eastAsia="宋体" w:cs="Times New Roman"/>
                <w:sz w:val="21"/>
                <w:szCs w:val="21"/>
              </w:rPr>
              <w:t>以下各项由评标委员会成员独立进行客观、公正的评价打分。</w:t>
            </w:r>
            <w:r>
              <w:rPr>
                <w:rFonts w:ascii="宋体" w:hAnsi="宋体" w:eastAsia="宋体" w:cs="Times New Roman"/>
                <w:sz w:val="21"/>
                <w:szCs w:val="21"/>
              </w:rPr>
              <w:t xml:space="preserve"> </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0"/>
              <w:textAlignment w:val="auto"/>
              <w:rPr>
                <w:rFonts w:ascii="宋体" w:hAnsi="Times New Roman" w:eastAsia="宋体" w:cs="Times New Roman"/>
                <w:sz w:val="21"/>
                <w:szCs w:val="21"/>
              </w:rPr>
            </w:pPr>
            <w:r>
              <w:rPr>
                <w:rFonts w:hint="eastAsia" w:ascii="宋体" w:hAnsi="宋体" w:eastAsia="宋体" w:cs="Times New Roman"/>
                <w:bCs/>
                <w:sz w:val="21"/>
                <w:szCs w:val="21"/>
              </w:rPr>
              <w:t>定制系统方案已到达招标要求，设备主要核心部件具备自身技术优势，打分</w:t>
            </w:r>
            <w:r>
              <w:rPr>
                <w:rFonts w:ascii="宋体" w:hAnsi="宋体" w:eastAsia="宋体" w:cs="Times New Roman"/>
                <w:bCs/>
                <w:sz w:val="21"/>
                <w:szCs w:val="21"/>
              </w:rPr>
              <w:t>0-</w:t>
            </w:r>
            <w:r>
              <w:rPr>
                <w:rFonts w:hint="eastAsia" w:ascii="宋体" w:hAnsi="宋体" w:eastAsia="宋体" w:cs="Times New Roman"/>
                <w:bCs/>
                <w:sz w:val="21"/>
                <w:szCs w:val="21"/>
                <w:lang w:val="en-US" w:eastAsia="zh-CN"/>
              </w:rPr>
              <w:t>8</w:t>
            </w:r>
            <w:r>
              <w:rPr>
                <w:rFonts w:hint="eastAsia" w:ascii="宋体" w:hAnsi="宋体" w:eastAsia="宋体" w:cs="Times New Roman"/>
                <w:bCs/>
                <w:sz w:val="21"/>
                <w:szCs w:val="21"/>
              </w:rPr>
              <w:t>分。</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0"/>
              <w:textAlignment w:val="auto"/>
              <w:rPr>
                <w:rFonts w:ascii="宋体" w:hAnsi="Times New Roman" w:eastAsia="宋体" w:cs="Times New Roman"/>
                <w:sz w:val="21"/>
                <w:szCs w:val="21"/>
              </w:rPr>
            </w:pPr>
            <w:r>
              <w:rPr>
                <w:rFonts w:hint="eastAsia" w:ascii="宋体" w:hAnsi="宋体" w:eastAsia="宋体" w:cs="Times New Roman"/>
                <w:bCs/>
                <w:sz w:val="21"/>
                <w:szCs w:val="21"/>
              </w:rPr>
              <w:t>系统配置齐全，其精度、参数、技术水平、可靠性等优势明显，打分</w:t>
            </w:r>
            <w:r>
              <w:rPr>
                <w:rFonts w:ascii="宋体" w:hAnsi="宋体" w:eastAsia="宋体" w:cs="Times New Roman"/>
                <w:bCs/>
                <w:sz w:val="21"/>
                <w:szCs w:val="21"/>
              </w:rPr>
              <w:t>0-</w:t>
            </w:r>
            <w:r>
              <w:rPr>
                <w:rFonts w:hint="eastAsia" w:ascii="宋体" w:hAnsi="宋体" w:eastAsia="宋体" w:cs="Times New Roman"/>
                <w:bCs/>
                <w:sz w:val="21"/>
                <w:szCs w:val="21"/>
                <w:lang w:val="en-US" w:eastAsia="zh-CN"/>
              </w:rPr>
              <w:t>8</w:t>
            </w:r>
            <w:r>
              <w:rPr>
                <w:rFonts w:hint="eastAsia" w:ascii="宋体" w:hAnsi="宋体" w:eastAsia="宋体" w:cs="Times New Roman"/>
                <w:bCs/>
                <w:sz w:val="21"/>
                <w:szCs w:val="21"/>
              </w:rPr>
              <w:t>分</w:t>
            </w:r>
            <w:r>
              <w:rPr>
                <w:rFonts w:hint="eastAsia" w:ascii="宋体" w:hAnsi="宋体" w:eastAsia="宋体" w:cs="Times New Roman"/>
                <w:sz w:val="21"/>
                <w:szCs w:val="21"/>
              </w:rPr>
              <w:t>。</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0"/>
              <w:textAlignment w:val="auto"/>
              <w:rPr>
                <w:rFonts w:ascii="宋体" w:hAnsi="Times New Roman" w:eastAsia="宋体" w:cs="Times New Roman"/>
                <w:sz w:val="21"/>
                <w:szCs w:val="21"/>
              </w:rPr>
            </w:pPr>
            <w:r>
              <w:rPr>
                <w:rFonts w:hint="eastAsia" w:ascii="宋体" w:hAnsi="宋体" w:eastAsia="宋体" w:cs="Times New Roman"/>
                <w:sz w:val="21"/>
                <w:szCs w:val="21"/>
              </w:rPr>
              <w:t>操作灵活方便，系统开放程度高，</w:t>
            </w:r>
            <w:r>
              <w:rPr>
                <w:rFonts w:hint="eastAsia" w:ascii="宋体" w:hAnsi="宋体" w:eastAsia="宋体" w:cs="Times New Roman"/>
                <w:bCs/>
                <w:sz w:val="21"/>
                <w:szCs w:val="21"/>
              </w:rPr>
              <w:t>打分</w:t>
            </w:r>
            <w:r>
              <w:rPr>
                <w:rFonts w:ascii="宋体" w:hAnsi="宋体" w:eastAsia="宋体" w:cs="Times New Roman"/>
                <w:bCs/>
                <w:sz w:val="21"/>
                <w:szCs w:val="21"/>
              </w:rPr>
              <w:t>0-</w:t>
            </w:r>
            <w:r>
              <w:rPr>
                <w:rFonts w:hint="eastAsia" w:ascii="宋体" w:hAnsi="宋体" w:eastAsia="宋体" w:cs="Times New Roman"/>
                <w:bCs/>
                <w:sz w:val="21"/>
                <w:szCs w:val="21"/>
                <w:lang w:val="en-US" w:eastAsia="zh-CN"/>
              </w:rPr>
              <w:t>6</w:t>
            </w:r>
            <w:r>
              <w:rPr>
                <w:rFonts w:hint="eastAsia" w:ascii="宋体" w:hAnsi="宋体" w:eastAsia="宋体" w:cs="Times New Roman"/>
                <w:bCs/>
                <w:sz w:val="21"/>
                <w:szCs w:val="21"/>
              </w:rPr>
              <w:t>分</w:t>
            </w:r>
            <w:r>
              <w:rPr>
                <w:rFonts w:hint="eastAsia" w:ascii="宋体" w:hAnsi="宋体" w:eastAsia="宋体" w:cs="Times New Roman"/>
                <w:sz w:val="21"/>
                <w:szCs w:val="21"/>
              </w:rPr>
              <w:t>。</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firstLine="0"/>
              <w:textAlignment w:val="auto"/>
              <w:rPr>
                <w:rFonts w:ascii="宋体" w:hAnsi="Times New Roman" w:eastAsia="宋体" w:cs="Times New Roman"/>
                <w:sz w:val="21"/>
                <w:szCs w:val="21"/>
              </w:rPr>
            </w:pPr>
            <w:r>
              <w:rPr>
                <w:rFonts w:hint="eastAsia" w:ascii="宋体" w:hAnsi="宋体" w:eastAsia="宋体" w:cs="Times New Roman"/>
                <w:sz w:val="21"/>
                <w:szCs w:val="21"/>
              </w:rPr>
              <w:t>综合评价，</w:t>
            </w:r>
            <w:r>
              <w:rPr>
                <w:rFonts w:hint="eastAsia" w:ascii="宋体" w:hAnsi="宋体" w:eastAsia="宋体" w:cs="Times New Roman"/>
                <w:bCs/>
                <w:sz w:val="21"/>
                <w:szCs w:val="21"/>
              </w:rPr>
              <w:t>打分</w:t>
            </w:r>
            <w:r>
              <w:rPr>
                <w:rFonts w:ascii="宋体" w:hAnsi="宋体" w:eastAsia="宋体" w:cs="Times New Roman"/>
                <w:bCs/>
                <w:sz w:val="21"/>
                <w:szCs w:val="21"/>
              </w:rPr>
              <w:t>0-</w:t>
            </w:r>
            <w:r>
              <w:rPr>
                <w:rFonts w:hint="eastAsia" w:ascii="宋体" w:hAnsi="宋体" w:eastAsia="宋体" w:cs="Times New Roman"/>
                <w:bCs/>
                <w:sz w:val="21"/>
                <w:szCs w:val="21"/>
                <w:lang w:val="en-US" w:eastAsia="zh-CN"/>
              </w:rPr>
              <w:t>8</w:t>
            </w:r>
            <w:r>
              <w:rPr>
                <w:rFonts w:hint="eastAsia" w:ascii="宋体" w:hAnsi="宋体" w:eastAsia="宋体" w:cs="Times New Roman"/>
                <w:bCs/>
                <w:sz w:val="21"/>
                <w:szCs w:val="21"/>
              </w:rPr>
              <w:t>分</w:t>
            </w:r>
            <w:r>
              <w:rPr>
                <w:rFonts w:hint="eastAsia" w:ascii="宋体" w:hAnsi="宋体"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4</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bCs/>
                <w:sz w:val="21"/>
                <w:szCs w:val="21"/>
              </w:rPr>
            </w:pPr>
            <w:r>
              <w:rPr>
                <w:rFonts w:hint="eastAsia" w:ascii="宋体" w:hAnsi="宋体" w:eastAsia="宋体" w:cs="Times New Roman"/>
                <w:bCs/>
                <w:sz w:val="21"/>
                <w:szCs w:val="21"/>
              </w:rPr>
              <w:t>方案中提供的测试用例条目数量、覆盖度及合理性</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12</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Times New Roman"/>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bCs/>
                <w:sz w:val="21"/>
                <w:szCs w:val="21"/>
                <w:lang w:val="en-US" w:eastAsia="zh-CN"/>
              </w:rPr>
              <w:t>12</w:t>
            </w:r>
            <w:r>
              <w:rPr>
                <w:rFonts w:hint="eastAsia" w:ascii="宋体" w:hAnsi="宋体" w:eastAsia="宋体" w:cs="Times New Roman"/>
                <w:bCs/>
                <w:sz w:val="21"/>
                <w:szCs w:val="21"/>
              </w:rPr>
              <w:t>分，良得</w:t>
            </w:r>
            <w:r>
              <w:rPr>
                <w:rFonts w:hint="eastAsia" w:ascii="宋体" w:hAnsi="宋体" w:eastAsia="宋体"/>
                <w:bCs/>
                <w:sz w:val="21"/>
                <w:szCs w:val="21"/>
                <w:lang w:val="en-US" w:eastAsia="zh-CN"/>
              </w:rPr>
              <w:t>6</w:t>
            </w:r>
            <w:r>
              <w:rPr>
                <w:rFonts w:hint="eastAsia" w:ascii="宋体" w:hAnsi="宋体" w:eastAsia="宋体" w:cs="Times New Roman"/>
                <w:bCs/>
                <w:sz w:val="21"/>
                <w:szCs w:val="21"/>
              </w:rPr>
              <w:t>分，一般得</w:t>
            </w:r>
            <w:r>
              <w:rPr>
                <w:rFonts w:hint="eastAsia" w:ascii="宋体" w:hAnsi="Times New Roman" w:eastAsia="宋体" w:cs="Times New Roman"/>
                <w:bCs/>
                <w:sz w:val="21"/>
                <w:szCs w:val="21"/>
                <w:lang w:val="en-US" w:eastAsia="zh-CN"/>
              </w:rPr>
              <w:t>2</w:t>
            </w:r>
            <w:r>
              <w:rPr>
                <w:rFonts w:hint="eastAsia" w:ascii="宋体" w:hAnsi="宋体" w:eastAsia="宋体" w:cs="Times New Roman"/>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技术偏离</w:t>
            </w: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ascii="宋体" w:hAnsi="宋体" w:eastAsia="宋体" w:cs="Times New Roman"/>
                <w:sz w:val="21"/>
                <w:szCs w:val="21"/>
              </w:rPr>
              <w:t>5</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sz w:val="21"/>
                <w:szCs w:val="21"/>
              </w:rPr>
            </w:pPr>
            <w:r>
              <w:rPr>
                <w:rFonts w:hint="eastAsia" w:ascii="宋体" w:hAnsi="宋体" w:eastAsia="宋体" w:cs="Times New Roman"/>
                <w:bCs/>
                <w:sz w:val="21"/>
                <w:szCs w:val="21"/>
              </w:rPr>
              <w:t>技术偏离</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20</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Times New Roman" w:eastAsia="宋体" w:cs="Times New Roman"/>
                <w:bCs/>
                <w:sz w:val="21"/>
                <w:szCs w:val="21"/>
              </w:rPr>
            </w:pPr>
            <w:r>
              <w:rPr>
                <w:rFonts w:hint="eastAsia" w:ascii="宋体" w:hAnsi="宋体" w:eastAsia="宋体" w:cs="Times New Roman"/>
                <w:bCs/>
                <w:sz w:val="21"/>
                <w:szCs w:val="21"/>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1"/>
                <w:szCs w:val="21"/>
                <w:lang w:val="en-US" w:eastAsia="zh-CN"/>
              </w:rPr>
              <w:t>20</w:t>
            </w:r>
            <w:r>
              <w:rPr>
                <w:rFonts w:hint="eastAsia" w:ascii="宋体" w:hAnsi="宋体" w:eastAsia="宋体" w:cs="Times New Roman"/>
                <w:bCs/>
                <w:sz w:val="21"/>
                <w:szCs w:val="21"/>
              </w:rPr>
              <w:t>分，较大偏离每一项扣</w:t>
            </w:r>
            <w:r>
              <w:rPr>
                <w:rFonts w:hint="eastAsia" w:ascii="宋体" w:hAnsi="宋体" w:eastAsia="宋体" w:cs="Times New Roman"/>
                <w:bCs/>
                <w:sz w:val="21"/>
                <w:szCs w:val="21"/>
                <w:lang w:val="en-US" w:eastAsia="zh-CN"/>
              </w:rPr>
              <w:t>4</w:t>
            </w:r>
            <w:r>
              <w:rPr>
                <w:rFonts w:hint="eastAsia" w:ascii="宋体" w:hAnsi="宋体" w:eastAsia="宋体" w:cs="Times New Roman"/>
                <w:bCs/>
                <w:sz w:val="21"/>
                <w:szCs w:val="21"/>
              </w:rPr>
              <w:t>分，一般偏离每一项扣</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分，最低</w:t>
            </w:r>
            <w:r>
              <w:rPr>
                <w:rFonts w:ascii="宋体" w:hAnsi="Times New Roman" w:eastAsia="宋体" w:cs="Times New Roman"/>
                <w:bCs/>
                <w:sz w:val="21"/>
                <w:szCs w:val="21"/>
              </w:rPr>
              <w:t>0</w:t>
            </w:r>
            <w:r>
              <w:rPr>
                <w:rFonts w:hint="eastAsia" w:ascii="宋体" w:hAnsi="宋体" w:eastAsia="宋体" w:cs="Times New Roman"/>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28"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hint="eastAsia" w:ascii="宋体" w:hAnsi="宋体" w:eastAsia="宋体" w:cs="Times New Roman"/>
                <w:sz w:val="21"/>
                <w:szCs w:val="21"/>
              </w:rPr>
              <w:t>售后及服务</w:t>
            </w: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ascii="宋体" w:hAnsi="宋体" w:eastAsia="宋体" w:cs="Times New Roman"/>
                <w:sz w:val="21"/>
                <w:szCs w:val="21"/>
              </w:rPr>
              <w:t>6</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sz w:val="21"/>
                <w:szCs w:val="21"/>
              </w:rPr>
            </w:pPr>
            <w:r>
              <w:rPr>
                <w:rFonts w:hint="eastAsia" w:ascii="宋体" w:hAnsi="宋体" w:eastAsia="宋体" w:cs="Times New Roman"/>
                <w:sz w:val="21"/>
                <w:szCs w:val="21"/>
              </w:rPr>
              <w:t>培训服务：技术培训方案的科学性、合理性和可行性，对采购方人员的网络协议知识、脚本开发、测试执行等能力建设的具体保证措施和服务承诺。</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Times New Roman"/>
                <w:sz w:val="21"/>
                <w:szCs w:val="21"/>
                <w:lang w:val="en-US" w:eastAsia="zh-CN"/>
              </w:rPr>
            </w:pPr>
            <w:r>
              <w:rPr>
                <w:rFonts w:hint="eastAsia" w:ascii="宋体" w:hAnsi="宋体" w:eastAsia="宋体" w:cs="Times New Roman"/>
                <w:sz w:val="21"/>
                <w:szCs w:val="21"/>
                <w:lang w:val="en-US" w:eastAsia="zh-CN"/>
              </w:rPr>
              <w:t>20</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bCs/>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bCs/>
                <w:sz w:val="21"/>
                <w:szCs w:val="21"/>
                <w:lang w:val="en-US" w:eastAsia="zh-CN"/>
              </w:rPr>
              <w:t>20</w:t>
            </w:r>
            <w:r>
              <w:rPr>
                <w:rFonts w:hint="eastAsia" w:ascii="宋体" w:hAnsi="宋体" w:eastAsia="宋体" w:cs="Times New Roman"/>
                <w:bCs/>
                <w:sz w:val="21"/>
                <w:szCs w:val="21"/>
              </w:rPr>
              <w:t>分，良得</w:t>
            </w:r>
            <w:r>
              <w:rPr>
                <w:rFonts w:hint="eastAsia" w:ascii="宋体" w:hAnsi="宋体" w:eastAsia="宋体"/>
                <w:bCs/>
                <w:sz w:val="21"/>
                <w:szCs w:val="21"/>
                <w:lang w:val="en-US" w:eastAsia="zh-CN"/>
              </w:rPr>
              <w:t>10</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p>
        </w:tc>
        <w:tc>
          <w:tcPr>
            <w:tcW w:w="5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Times New Roman"/>
                <w:sz w:val="21"/>
                <w:szCs w:val="21"/>
              </w:rPr>
            </w:pPr>
            <w:r>
              <w:rPr>
                <w:rFonts w:ascii="宋体" w:hAnsi="宋体" w:eastAsia="宋体" w:cs="Times New Roman"/>
                <w:sz w:val="21"/>
                <w:szCs w:val="21"/>
              </w:rPr>
              <w:t>7</w:t>
            </w:r>
          </w:p>
        </w:tc>
        <w:tc>
          <w:tcPr>
            <w:tcW w:w="3230"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sz w:val="21"/>
                <w:szCs w:val="21"/>
              </w:rPr>
            </w:pPr>
            <w:r>
              <w:rPr>
                <w:rFonts w:hint="eastAsia" w:ascii="宋体" w:hAnsi="宋体" w:eastAsia="宋体" w:cs="Times New Roman"/>
                <w:sz w:val="21"/>
                <w:szCs w:val="21"/>
              </w:rPr>
              <w:t>售后服务的承诺和具体的保证措施，承诺到现场的相应时间</w:t>
            </w:r>
          </w:p>
        </w:tc>
        <w:tc>
          <w:tcPr>
            <w:tcW w:w="59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val="en-US" w:eastAsia="zh-CN"/>
              </w:rPr>
              <w:t>6</w:t>
            </w:r>
          </w:p>
        </w:tc>
        <w:tc>
          <w:tcPr>
            <w:tcW w:w="829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Times New Roman" w:eastAsia="宋体" w:cs="Times New Roman"/>
                <w:bCs/>
                <w:sz w:val="21"/>
                <w:szCs w:val="21"/>
              </w:rPr>
            </w:pPr>
            <w:r>
              <w:rPr>
                <w:rFonts w:hint="eastAsia" w:ascii="宋体" w:hAnsi="宋体" w:eastAsia="宋体" w:cs="Times New Roman"/>
                <w:bCs/>
                <w:sz w:val="21"/>
                <w:szCs w:val="21"/>
              </w:rPr>
              <w:t>由评标委员会成员独立进行客观、公正的评价，按照优、良、一般进行赋分，优得</w:t>
            </w:r>
            <w:r>
              <w:rPr>
                <w:rFonts w:hint="eastAsia" w:ascii="宋体" w:hAnsi="宋体" w:eastAsia="宋体" w:cs="Times New Roman"/>
                <w:bCs/>
                <w:sz w:val="21"/>
                <w:szCs w:val="21"/>
                <w:lang w:val="en-US" w:eastAsia="zh-CN"/>
              </w:rPr>
              <w:t>6</w:t>
            </w:r>
            <w:r>
              <w:rPr>
                <w:rFonts w:hint="eastAsia" w:ascii="宋体" w:hAnsi="宋体" w:eastAsia="宋体" w:cs="Times New Roman"/>
                <w:bCs/>
                <w:sz w:val="21"/>
                <w:szCs w:val="21"/>
              </w:rPr>
              <w:t>分，良得</w:t>
            </w:r>
            <w:r>
              <w:rPr>
                <w:rFonts w:hint="eastAsia" w:ascii="宋体" w:hAnsi="宋体" w:eastAsia="宋体" w:cs="Times New Roman"/>
                <w:bCs/>
                <w:sz w:val="21"/>
                <w:szCs w:val="21"/>
                <w:lang w:val="en-US" w:eastAsia="zh-CN"/>
              </w:rPr>
              <w:t>4</w:t>
            </w:r>
            <w:r>
              <w:rPr>
                <w:rFonts w:hint="eastAsia" w:ascii="宋体" w:hAnsi="宋体" w:eastAsia="宋体" w:cs="Times New Roman"/>
                <w:bCs/>
                <w:sz w:val="21"/>
                <w:szCs w:val="21"/>
              </w:rPr>
              <w:t>分，一般得</w:t>
            </w:r>
            <w:r>
              <w:rPr>
                <w:rFonts w:hint="eastAsia" w:ascii="宋体" w:hAnsi="宋体" w:eastAsia="宋体" w:cs="Times New Roman"/>
                <w:bCs/>
                <w:sz w:val="21"/>
                <w:szCs w:val="21"/>
                <w:lang w:val="en-US" w:eastAsia="zh-CN"/>
              </w:rPr>
              <w:t>2</w:t>
            </w:r>
            <w:r>
              <w:rPr>
                <w:rFonts w:hint="eastAsia" w:ascii="宋体" w:hAnsi="宋体" w:eastAsia="宋体" w:cs="Times New Roman"/>
                <w:bCs/>
                <w:sz w:val="21"/>
                <w:szCs w:val="21"/>
              </w:rPr>
              <w:t>分。</w:t>
            </w:r>
          </w:p>
        </w:tc>
      </w:tr>
    </w:tbl>
    <w:p>
      <w:pPr>
        <w:spacing w:line="360" w:lineRule="auto"/>
        <w:ind w:firstLine="480" w:firstLineChars="200"/>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outlineLvl w:val="9"/>
        <w:rPr>
          <w:rFonts w:hint="eastAsia" w:eastAsia="宋体"/>
          <w:b w:val="0"/>
          <w:bCs w:val="0"/>
          <w:lang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w:t>
      </w:r>
      <w:r>
        <w:rPr>
          <w:rFonts w:hint="eastAsia" w:ascii="宋体" w:hAnsi="宋体" w:eastAsia="宋体" w:cs="宋体"/>
          <w:b/>
          <w:bCs/>
          <w:i w:val="0"/>
          <w:strike w:val="0"/>
          <w:color w:val="000000"/>
          <w:sz w:val="24"/>
          <w:szCs w:val="28"/>
          <w:highlight w:val="yellow"/>
          <w:u w:val="none"/>
          <w:lang w:val="en-US" w:eastAsia="zh-CN"/>
        </w:rPr>
        <w:t>业务主管部门为“技术改造部”</w:t>
      </w:r>
      <w:r>
        <w:rPr>
          <w:rFonts w:hint="eastAsia" w:hAnsi="宋体" w:eastAsia="宋体" w:cs="宋体"/>
          <w:b/>
          <w:bCs/>
          <w:i w:val="0"/>
          <w:strike w:val="0"/>
          <w:color w:val="000000"/>
          <w:sz w:val="24"/>
          <w:szCs w:val="28"/>
          <w:highlight w:val="yellow"/>
          <w:u w:val="none"/>
          <w:lang w:val="en-US" w:eastAsia="zh-CN"/>
        </w:rPr>
        <w:t>。</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3.注册成功后，请按照所收到短信内的账号密码重新登录。登录后请尽快绑定手机号（找回密码用），并修改默认密码。</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4.每个公司只需注册一次且只能注册一次。请妥善保管账号、密码、绑定手机号。非常重要。</w:t>
      </w:r>
    </w:p>
    <w:p>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5"/>
          <w:rFonts w:hint="eastAsia" w:ascii="宋体" w:hAnsi="宋体" w:eastAsia="宋体" w:cs="宋体"/>
          <w:sz w:val="24"/>
          <w:szCs w:val="24"/>
        </w:rPr>
        <w:fldChar w:fldCharType="begin"/>
      </w:r>
      <w:r>
        <w:rPr>
          <w:rStyle w:val="45"/>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5"/>
          <w:rFonts w:hint="eastAsia" w:ascii="宋体" w:hAnsi="宋体" w:eastAsia="宋体" w:cs="宋体"/>
          <w:sz w:val="24"/>
          <w:szCs w:val="24"/>
        </w:rPr>
        <w:fldChar w:fldCharType="separate"/>
      </w:r>
      <w:r>
        <w:rPr>
          <w:rStyle w:val="45"/>
          <w:rFonts w:hint="eastAsia" w:ascii="宋体" w:hAnsi="宋体" w:eastAsia="宋体" w:cs="宋体"/>
          <w:sz w:val="24"/>
          <w:szCs w:val="24"/>
        </w:rPr>
        <w:t>http://ecaitong.sinotruk.com:8012/</w:t>
      </w:r>
      <w:r>
        <w:rPr>
          <w:rStyle w:val="45"/>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2"/>
      </w:pPr>
    </w:p>
    <w:p>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r>
        <w:rPr>
          <w:rFonts w:hint="eastAsia" w:ascii="宋体" w:hAnsi="宋体" w:eastAsia="宋体" w:cs="宋体"/>
          <w:b/>
          <w:bCs/>
          <w:i w:val="0"/>
          <w:strike w:val="0"/>
          <w:color w:val="000000"/>
          <w:sz w:val="24"/>
          <w:szCs w:val="28"/>
          <w:highlight w:val="yellow"/>
          <w:u w:val="none"/>
          <w:lang w:eastAsia="zh-CN"/>
        </w:rPr>
        <w:t>（</w:t>
      </w:r>
      <w:r>
        <w:rPr>
          <w:rFonts w:hint="eastAsia" w:ascii="宋体" w:hAnsi="宋体" w:eastAsia="宋体" w:cs="宋体"/>
          <w:b/>
          <w:bCs/>
          <w:i w:val="0"/>
          <w:strike w:val="0"/>
          <w:color w:val="000000"/>
          <w:sz w:val="24"/>
          <w:szCs w:val="28"/>
          <w:highlight w:val="yellow"/>
          <w:u w:val="none"/>
          <w:lang w:val="en-US" w:eastAsia="zh-CN"/>
        </w:rPr>
        <w:t>e采通投标价格单位为万元</w:t>
      </w:r>
      <w:r>
        <w:rPr>
          <w:rFonts w:hint="eastAsia" w:ascii="宋体" w:hAnsi="宋体" w:eastAsia="宋体" w:cs="宋体"/>
          <w:b/>
          <w:bCs/>
          <w:i w:val="0"/>
          <w:strike w:val="0"/>
          <w:color w:val="000000"/>
          <w:sz w:val="24"/>
          <w:szCs w:val="28"/>
          <w:highlight w:val="yellow"/>
          <w:u w:val="none"/>
          <w:lang w:eastAsia="zh-CN"/>
        </w:rPr>
        <w:t>）</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p>
      <w:pPr>
        <w:pStyle w:val="2"/>
        <w:rPr>
          <w:rFonts w:hint="eastAsia" w:hAnsi="宋体" w:eastAsia="宋体" w:cs="Times New Roman"/>
          <w:b/>
          <w:color w:val="000000"/>
          <w:sz w:val="24"/>
          <w:szCs w:val="24"/>
          <w:lang w:val="en-US" w:eastAsia="zh-CN"/>
        </w:rPr>
      </w:pPr>
    </w:p>
    <w:p>
      <w:pPr>
        <w:pStyle w:val="2"/>
        <w:rPr>
          <w:rFonts w:hint="eastAsia" w:hAnsi="宋体" w:eastAsia="宋体" w:cs="Times New Roman"/>
          <w:b/>
          <w:color w:val="000000"/>
          <w:sz w:val="24"/>
          <w:szCs w:val="24"/>
          <w:lang w:val="en-US" w:eastAsia="zh-CN"/>
        </w:rPr>
      </w:pPr>
    </w:p>
    <w:p>
      <w:pPr>
        <w:pStyle w:val="2"/>
        <w:rPr>
          <w:rFonts w:hint="eastAsia" w:hAnsi="宋体" w:eastAsia="宋体" w:cs="Times New Roman"/>
          <w:b/>
          <w:color w:val="000000"/>
          <w:sz w:val="24"/>
          <w:szCs w:val="24"/>
          <w:lang w:val="en-US" w:eastAsia="zh-CN"/>
        </w:rPr>
      </w:pPr>
    </w:p>
    <w:p>
      <w:pPr>
        <w:rPr>
          <w:rFonts w:hint="eastAsia" w:hAnsi="宋体" w:eastAsia="宋体" w:cs="Times New Roman"/>
          <w:b/>
          <w:color w:val="000000"/>
          <w:sz w:val="24"/>
          <w:szCs w:val="24"/>
          <w:lang w:val="en-US" w:eastAsia="zh-CN"/>
        </w:rPr>
      </w:pPr>
      <w:r>
        <w:rPr>
          <w:rFonts w:hint="eastAsia" w:hAnsi="宋体" w:eastAsia="宋体" w:cs="Times New Roman"/>
          <w:b/>
          <w:color w:val="000000"/>
          <w:sz w:val="24"/>
          <w:szCs w:val="24"/>
          <w:lang w:val="en-US" w:eastAsia="zh-CN"/>
        </w:rPr>
        <w:br w:type="page"/>
      </w:r>
    </w:p>
    <w:p>
      <w:pPr>
        <w:pStyle w:val="2"/>
        <w:rPr>
          <w:rFonts w:hint="eastAsia" w:hAnsi="宋体" w:eastAsia="宋体" w:cs="Times New Roman"/>
          <w:b/>
          <w:color w:val="000000"/>
          <w:sz w:val="24"/>
          <w:szCs w:val="24"/>
          <w:lang w:val="en-US" w:eastAsia="zh-CN"/>
        </w:rPr>
      </w:pPr>
    </w:p>
    <w:p>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ascii="Times New Roman" w:hAnsi="Times New Roman" w:eastAsia="宋体" w:cs="Times New Roman"/>
          <w:b/>
          <w:bCs/>
          <w:color w:val="000000"/>
          <w:sz w:val="24"/>
          <w:szCs w:val="24"/>
        </w:rPr>
        <w:t>以太网</w:t>
      </w:r>
      <w:r>
        <w:rPr>
          <w:rFonts w:ascii="Times New Roman" w:hAnsi="Times New Roman" w:eastAsia="宋体" w:cs="Times New Roman"/>
          <w:b/>
          <w:bCs/>
          <w:color w:val="000000"/>
          <w:sz w:val="24"/>
          <w:szCs w:val="24"/>
        </w:rPr>
        <w:t>测试用例</w:t>
      </w:r>
      <w:r>
        <w:rPr>
          <w:rFonts w:hint="eastAsia" w:ascii="Times New Roman" w:hAnsi="Times New Roman" w:eastAsia="宋体" w:cs="Times New Roman"/>
          <w:b/>
          <w:bCs/>
          <w:color w:val="000000"/>
          <w:sz w:val="24"/>
          <w:szCs w:val="24"/>
        </w:rPr>
        <w:t>表（模板，以中文填写，不含T</w:t>
      </w:r>
      <w:r>
        <w:rPr>
          <w:rFonts w:ascii="Times New Roman" w:hAnsi="Times New Roman" w:eastAsia="宋体" w:cs="Times New Roman"/>
          <w:b/>
          <w:bCs/>
          <w:color w:val="000000"/>
          <w:sz w:val="24"/>
          <w:szCs w:val="24"/>
        </w:rPr>
        <w:t>C8</w:t>
      </w:r>
      <w:r>
        <w:rPr>
          <w:rFonts w:hint="eastAsia" w:ascii="Times New Roman" w:hAnsi="Times New Roman" w:eastAsia="宋体" w:cs="Times New Roman"/>
          <w:b/>
          <w:bCs/>
          <w:color w:val="000000"/>
          <w:sz w:val="24"/>
          <w:szCs w:val="24"/>
        </w:rPr>
        <w:t>标准测试、L</w:t>
      </w:r>
      <w:r>
        <w:rPr>
          <w:rFonts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rPr>
        <w:t>层标准测试）</w:t>
      </w:r>
    </w:p>
    <w:tbl>
      <w:tblPr>
        <w:tblStyle w:val="37"/>
        <w:tblW w:w="8925" w:type="dxa"/>
        <w:tblInd w:w="10" w:type="dxa"/>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75"/>
        <w:gridCol w:w="2300"/>
        <w:gridCol w:w="187"/>
        <w:gridCol w:w="2455"/>
        <w:gridCol w:w="2008"/>
      </w:tblGrid>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Borders>
              <w:top w:val="single" w:color="auto"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测试类型（1）：</w:t>
            </w:r>
          </w:p>
        </w:tc>
        <w:tc>
          <w:tcPr>
            <w:tcW w:w="2300" w:type="dxa"/>
            <w:tcBorders>
              <w:top w:val="single" w:color="auto"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单部件基础通信测试</w:t>
            </w:r>
          </w:p>
        </w:tc>
        <w:tc>
          <w:tcPr>
            <w:tcW w:w="2642" w:type="dxa"/>
            <w:gridSpan w:val="2"/>
            <w:tcBorders>
              <w:top w:val="single" w:color="auto" w:sz="4" w:space="0"/>
            </w:tcBorders>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Borders>
              <w:top w:val="single" w:color="auto" w:sz="4" w:space="0"/>
            </w:tcBorders>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物理层测试</w:t>
            </w:r>
          </w:p>
        </w:tc>
        <w:tc>
          <w:tcPr>
            <w:tcW w:w="4942" w:type="dxa"/>
            <w:gridSpan w:val="3"/>
            <w:shd w:val="clear" w:color="auto" w:fill="auto"/>
            <w:vAlign w:val="center"/>
          </w:tcPr>
          <w:p>
            <w:pPr>
              <w:widowControl/>
              <w:rPr>
                <w:rFonts w:ascii="宋体" w:hAnsi="宋体" w:eastAsia="宋体" w:cs="宋体"/>
                <w:kern w:val="0"/>
                <w:sz w:val="18"/>
                <w:szCs w:val="18"/>
              </w:rPr>
            </w:pPr>
            <w:r>
              <w:rPr>
                <w:rFonts w:hint="eastAsia" w:ascii="宋体" w:hAnsi="宋体" w:eastAsia="宋体" w:cs="宋体"/>
                <w:kern w:val="0"/>
                <w:sz w:val="18"/>
                <w:szCs w:val="18"/>
              </w:rPr>
              <w:t>高压通信范围测试</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数据链路层测试</w:t>
            </w:r>
          </w:p>
        </w:tc>
        <w:tc>
          <w:tcPr>
            <w:tcW w:w="4942" w:type="dxa"/>
            <w:gridSpan w:val="3"/>
            <w:shd w:val="clear" w:color="auto" w:fill="auto"/>
            <w:vAlign w:val="center"/>
          </w:tcPr>
          <w:p>
            <w:pPr>
              <w:widowControl/>
              <w:rPr>
                <w:rFonts w:ascii="宋体" w:hAnsi="宋体" w:eastAsia="宋体" w:cs="宋体"/>
                <w:kern w:val="0"/>
                <w:sz w:val="18"/>
                <w:szCs w:val="18"/>
              </w:rPr>
            </w:pPr>
            <w:r>
              <w:rPr>
                <w:rFonts w:hint="eastAsia" w:ascii="宋体" w:hAnsi="宋体" w:eastAsia="宋体" w:cs="宋体"/>
                <w:kern w:val="0"/>
                <w:sz w:val="18"/>
                <w:szCs w:val="18"/>
              </w:rPr>
              <w:t>数据库定义以太网类型测试</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Arial"/>
                <w:kern w:val="0"/>
                <w:sz w:val="18"/>
                <w:szCs w:val="18"/>
              </w:rPr>
            </w:pPr>
            <w:r>
              <w:rPr>
                <w:rFonts w:ascii="宋体" w:hAnsi="宋体" w:eastAsia="宋体" w:cs="Arial"/>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网络层测试</w:t>
            </w:r>
          </w:p>
        </w:tc>
        <w:tc>
          <w:tcPr>
            <w:tcW w:w="4942" w:type="dxa"/>
            <w:gridSpan w:val="3"/>
            <w:shd w:val="clear" w:color="auto" w:fill="auto"/>
            <w:vAlign w:val="center"/>
          </w:tcPr>
          <w:p>
            <w:pPr>
              <w:widowControl/>
              <w:rPr>
                <w:rFonts w:ascii="宋体" w:hAnsi="宋体" w:eastAsia="宋体" w:cs="宋体"/>
                <w:kern w:val="0"/>
                <w:sz w:val="18"/>
                <w:szCs w:val="18"/>
              </w:rPr>
            </w:pPr>
            <w:r>
              <w:rPr>
                <w:rFonts w:hint="eastAsia" w:ascii="宋体" w:hAnsi="宋体" w:eastAsia="宋体" w:cs="宋体"/>
                <w:kern w:val="0"/>
                <w:sz w:val="18"/>
                <w:szCs w:val="18"/>
              </w:rPr>
              <w:t>数据库定义源</w:t>
            </w:r>
            <w:r>
              <w:rPr>
                <w:rFonts w:ascii="宋体" w:hAnsi="宋体" w:eastAsia="宋体" w:cs="宋体"/>
                <w:kern w:val="0"/>
                <w:sz w:val="18"/>
                <w:szCs w:val="18"/>
              </w:rPr>
              <w:t>IP地址测试</w:t>
            </w:r>
          </w:p>
        </w:tc>
        <w:tc>
          <w:tcPr>
            <w:tcW w:w="2008" w:type="dxa"/>
            <w:shd w:val="clear" w:color="auto" w:fill="auto"/>
            <w:vAlign w:val="center"/>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传输层测试</w:t>
            </w:r>
          </w:p>
        </w:tc>
        <w:tc>
          <w:tcPr>
            <w:tcW w:w="4942" w:type="dxa"/>
            <w:gridSpan w:val="3"/>
            <w:shd w:val="clear" w:color="auto" w:fill="auto"/>
            <w:vAlign w:val="center"/>
          </w:tcPr>
          <w:p>
            <w:pPr>
              <w:widowControl/>
              <w:rPr>
                <w:rFonts w:ascii="宋体" w:hAnsi="宋体" w:eastAsia="宋体" w:cs="Arial"/>
                <w:kern w:val="0"/>
                <w:sz w:val="18"/>
                <w:szCs w:val="18"/>
              </w:rPr>
            </w:pPr>
            <w:r>
              <w:rPr>
                <w:rFonts w:hint="eastAsia" w:ascii="宋体" w:hAnsi="宋体" w:eastAsia="宋体" w:cs="Arial"/>
                <w:kern w:val="0"/>
                <w:sz w:val="18"/>
                <w:szCs w:val="18"/>
              </w:rPr>
              <w:t>数据库</w:t>
            </w:r>
            <w:r>
              <w:rPr>
                <w:rFonts w:ascii="宋体" w:hAnsi="宋体" w:eastAsia="宋体" w:cs="Arial"/>
                <w:kern w:val="0"/>
                <w:sz w:val="18"/>
                <w:szCs w:val="18"/>
              </w:rPr>
              <w:t>UDP源端口测试</w:t>
            </w:r>
          </w:p>
        </w:tc>
        <w:tc>
          <w:tcPr>
            <w:tcW w:w="2008" w:type="dxa"/>
            <w:shd w:val="clear" w:color="auto" w:fill="auto"/>
            <w:noWrap/>
            <w:vAlign w:val="bottom"/>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Arial"/>
                <w:kern w:val="0"/>
                <w:sz w:val="18"/>
                <w:szCs w:val="18"/>
              </w:rPr>
            </w:pPr>
          </w:p>
        </w:tc>
        <w:tc>
          <w:tcPr>
            <w:tcW w:w="2008" w:type="dxa"/>
            <w:shd w:val="clear" w:color="auto" w:fill="auto"/>
            <w:noWrap/>
            <w:vAlign w:val="bottom"/>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SOME/IP</w:t>
            </w:r>
            <w:r>
              <w:rPr>
                <w:rFonts w:hint="eastAsia" w:ascii="宋体" w:hAnsi="宋体" w:eastAsia="宋体" w:cs="宋体"/>
                <w:kern w:val="0"/>
                <w:sz w:val="18"/>
                <w:szCs w:val="18"/>
              </w:rPr>
              <w:t>测试</w:t>
            </w:r>
          </w:p>
        </w:tc>
        <w:tc>
          <w:tcPr>
            <w:tcW w:w="4942" w:type="dxa"/>
            <w:gridSpan w:val="3"/>
            <w:shd w:val="clear" w:color="auto" w:fill="auto"/>
            <w:vAlign w:val="center"/>
          </w:tcPr>
          <w:p>
            <w:pPr>
              <w:widowControl/>
              <w:rPr>
                <w:rFonts w:ascii="宋体" w:hAnsi="宋体" w:eastAsia="宋体" w:cs="Arial"/>
                <w:kern w:val="0"/>
                <w:sz w:val="18"/>
                <w:szCs w:val="18"/>
              </w:rPr>
            </w:pPr>
          </w:p>
        </w:tc>
        <w:tc>
          <w:tcPr>
            <w:tcW w:w="2008" w:type="dxa"/>
            <w:shd w:val="clear" w:color="auto" w:fill="auto"/>
            <w:noWrap/>
            <w:vAlign w:val="bottom"/>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tcBorders>
              <w:bottom w:val="single" w:color="auto" w:sz="6" w:space="0"/>
            </w:tcBorders>
            <w:vAlign w:val="center"/>
          </w:tcPr>
          <w:p>
            <w:pPr>
              <w:widowControl/>
              <w:jc w:val="left"/>
              <w:rPr>
                <w:rFonts w:ascii="宋体" w:hAnsi="宋体" w:eastAsia="宋体" w:cs="宋体"/>
                <w:kern w:val="0"/>
                <w:sz w:val="18"/>
                <w:szCs w:val="18"/>
              </w:rPr>
            </w:pPr>
          </w:p>
        </w:tc>
        <w:tc>
          <w:tcPr>
            <w:tcW w:w="4942" w:type="dxa"/>
            <w:gridSpan w:val="3"/>
            <w:tcBorders>
              <w:bottom w:val="single" w:color="auto" w:sz="6" w:space="0"/>
            </w:tcBorders>
            <w:shd w:val="clear" w:color="auto" w:fill="auto"/>
            <w:vAlign w:val="center"/>
          </w:tcPr>
          <w:p>
            <w:pPr>
              <w:widowControl/>
              <w:rPr>
                <w:rFonts w:ascii="宋体" w:hAnsi="宋体" w:eastAsia="宋体" w:cs="Arial"/>
                <w:kern w:val="0"/>
                <w:sz w:val="18"/>
                <w:szCs w:val="18"/>
              </w:rPr>
            </w:pPr>
            <w:r>
              <w:rPr>
                <w:rFonts w:ascii="宋体" w:hAnsi="宋体" w:eastAsia="宋体" w:cs="Arial"/>
                <w:kern w:val="0"/>
                <w:sz w:val="18"/>
                <w:szCs w:val="18"/>
              </w:rPr>
              <w:t>…</w:t>
            </w:r>
          </w:p>
        </w:tc>
        <w:tc>
          <w:tcPr>
            <w:tcW w:w="2008" w:type="dxa"/>
            <w:tcBorders>
              <w:bottom w:val="single" w:color="auto" w:sz="6" w:space="0"/>
            </w:tcBorders>
            <w:shd w:val="clear" w:color="auto" w:fill="auto"/>
            <w:noWrap/>
            <w:vAlign w:val="bottom"/>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测试类型（2）；</w:t>
            </w:r>
          </w:p>
        </w:tc>
        <w:tc>
          <w:tcPr>
            <w:tcW w:w="2300"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rPr>
              <w:t>UDPNM测试</w:t>
            </w:r>
          </w:p>
        </w:tc>
        <w:tc>
          <w:tcPr>
            <w:tcW w:w="2642" w:type="dxa"/>
            <w:gridSpan w:val="2"/>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测试类型（3）；</w:t>
            </w:r>
          </w:p>
        </w:tc>
        <w:tc>
          <w:tcPr>
            <w:tcW w:w="2487" w:type="dxa"/>
            <w:gridSpan w:val="2"/>
          </w:tcPr>
          <w:p>
            <w:pPr>
              <w:widowControl/>
              <w:jc w:val="center"/>
              <w:rPr>
                <w:rFonts w:ascii="宋体" w:hAnsi="宋体" w:eastAsia="宋体" w:cs="宋体"/>
                <w:b/>
                <w:bCs/>
                <w:kern w:val="0"/>
                <w:sz w:val="18"/>
                <w:szCs w:val="18"/>
              </w:rPr>
            </w:pPr>
            <w:r>
              <w:rPr>
                <w:rFonts w:ascii="宋体" w:hAnsi="宋体" w:eastAsia="宋体" w:cs="宋体"/>
                <w:b/>
                <w:bCs/>
                <w:kern w:val="0"/>
                <w:sz w:val="18"/>
                <w:szCs w:val="18"/>
              </w:rPr>
              <w:t>D</w:t>
            </w:r>
            <w:r>
              <w:rPr>
                <w:rFonts w:hint="eastAsia" w:ascii="宋体" w:hAnsi="宋体" w:eastAsia="宋体" w:cs="宋体"/>
                <w:b/>
                <w:bCs/>
                <w:kern w:val="0"/>
                <w:sz w:val="18"/>
                <w:szCs w:val="18"/>
              </w:rPr>
              <w:t>o</w:t>
            </w:r>
            <w:r>
              <w:rPr>
                <w:rFonts w:ascii="宋体" w:hAnsi="宋体" w:eastAsia="宋体" w:cs="宋体"/>
                <w:b/>
                <w:bCs/>
                <w:kern w:val="0"/>
                <w:sz w:val="18"/>
                <w:szCs w:val="18"/>
              </w:rPr>
              <w:t>IP</w:t>
            </w:r>
            <w:r>
              <w:rPr>
                <w:rFonts w:hint="eastAsia" w:ascii="宋体" w:hAnsi="宋体" w:eastAsia="宋体" w:cs="宋体"/>
                <w:b/>
                <w:bCs/>
                <w:kern w:val="0"/>
                <w:sz w:val="18"/>
                <w:szCs w:val="18"/>
              </w:rPr>
              <w:t>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测试类型（4）；</w:t>
            </w:r>
          </w:p>
        </w:tc>
        <w:tc>
          <w:tcPr>
            <w:tcW w:w="2487" w:type="dxa"/>
            <w:gridSpan w:val="2"/>
          </w:tcPr>
          <w:p>
            <w:pPr>
              <w:widowControl/>
              <w:jc w:val="center"/>
              <w:rPr>
                <w:rFonts w:ascii="宋体" w:hAnsi="宋体" w:eastAsia="宋体" w:cs="宋体"/>
                <w:b/>
                <w:bCs/>
                <w:kern w:val="0"/>
                <w:sz w:val="18"/>
                <w:szCs w:val="18"/>
              </w:rPr>
            </w:pPr>
            <w:r>
              <w:rPr>
                <w:rFonts w:ascii="宋体" w:hAnsi="宋体" w:eastAsia="宋体" w:cs="宋体"/>
                <w:b/>
                <w:bCs/>
                <w:kern w:val="0"/>
                <w:sz w:val="18"/>
                <w:szCs w:val="18"/>
              </w:rPr>
              <w:t>UDS</w:t>
            </w:r>
            <w:r>
              <w:rPr>
                <w:rFonts w:hint="eastAsia" w:ascii="宋体" w:hAnsi="宋体" w:eastAsia="宋体" w:cs="宋体"/>
                <w:b/>
                <w:bCs/>
                <w:kern w:val="0"/>
                <w:sz w:val="18"/>
                <w:szCs w:val="18"/>
              </w:rPr>
              <w:t>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测试类型（5）；</w:t>
            </w:r>
          </w:p>
        </w:tc>
        <w:tc>
          <w:tcPr>
            <w:tcW w:w="2487" w:type="dxa"/>
            <w:gridSpan w:val="2"/>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刷写测试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测试类型（6）；</w:t>
            </w:r>
          </w:p>
        </w:tc>
        <w:tc>
          <w:tcPr>
            <w:tcW w:w="2487" w:type="dxa"/>
            <w:gridSpan w:val="2"/>
          </w:tcPr>
          <w:p>
            <w:pPr>
              <w:widowControl/>
              <w:jc w:val="center"/>
              <w:rPr>
                <w:rFonts w:ascii="宋体" w:hAnsi="宋体" w:eastAsia="宋体" w:cs="宋体"/>
                <w:b/>
                <w:bCs/>
                <w:kern w:val="0"/>
                <w:sz w:val="18"/>
                <w:szCs w:val="18"/>
              </w:rPr>
            </w:pPr>
            <w:r>
              <w:rPr>
                <w:rFonts w:ascii="宋体" w:hAnsi="宋体" w:eastAsia="宋体" w:cs="宋体"/>
                <w:b/>
                <w:bCs/>
                <w:kern w:val="0"/>
                <w:sz w:val="18"/>
                <w:szCs w:val="18"/>
              </w:rPr>
              <w:t>AVB</w:t>
            </w:r>
            <w:r>
              <w:rPr>
                <w:rFonts w:hint="eastAsia" w:ascii="宋体" w:hAnsi="宋体" w:eastAsia="宋体" w:cs="宋体"/>
                <w:b/>
                <w:bCs/>
                <w:kern w:val="0"/>
                <w:sz w:val="18"/>
                <w:szCs w:val="18"/>
              </w:rPr>
              <w:t>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测试类型（7）；</w:t>
            </w:r>
          </w:p>
        </w:tc>
        <w:tc>
          <w:tcPr>
            <w:tcW w:w="2487" w:type="dxa"/>
            <w:gridSpan w:val="2"/>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T</w:t>
            </w:r>
            <w:r>
              <w:rPr>
                <w:rFonts w:ascii="宋体" w:hAnsi="宋体" w:eastAsia="宋体" w:cs="宋体"/>
                <w:b/>
                <w:bCs/>
                <w:kern w:val="0"/>
                <w:sz w:val="18"/>
                <w:szCs w:val="18"/>
              </w:rPr>
              <w:t>SN</w:t>
            </w:r>
            <w:r>
              <w:rPr>
                <w:rFonts w:hint="eastAsia" w:ascii="宋体" w:hAnsi="宋体" w:eastAsia="宋体" w:cs="宋体"/>
                <w:b/>
                <w:bCs/>
                <w:kern w:val="0"/>
                <w:sz w:val="18"/>
                <w:szCs w:val="18"/>
              </w:rPr>
              <w:t>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测试类型（8）；</w:t>
            </w:r>
          </w:p>
        </w:tc>
        <w:tc>
          <w:tcPr>
            <w:tcW w:w="2487" w:type="dxa"/>
            <w:gridSpan w:val="2"/>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系统基础通信测试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基础通信</w:t>
            </w:r>
            <w:r>
              <w:rPr>
                <w:rFonts w:ascii="宋体" w:hAnsi="宋体" w:eastAsia="宋体" w:cs="宋体"/>
                <w:kern w:val="0"/>
                <w:sz w:val="18"/>
                <w:szCs w:val="18"/>
              </w:rPr>
              <w:t>测试</w:t>
            </w: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SOME/IP</w:t>
            </w:r>
            <w:r>
              <w:rPr>
                <w:rFonts w:hint="eastAsia" w:ascii="宋体" w:hAnsi="宋体" w:eastAsia="宋体" w:cs="宋体"/>
                <w:kern w:val="0"/>
                <w:sz w:val="18"/>
                <w:szCs w:val="18"/>
              </w:rPr>
              <w:t>配置测试</w:t>
            </w: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shd w:val="clear" w:color="auto" w:fill="auto"/>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tcBorders>
              <w:top w:val="single" w:color="auto" w:sz="6" w:space="0"/>
              <w:left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AVB</w:t>
            </w:r>
            <w:r>
              <w:rPr>
                <w:rFonts w:hint="eastAsia" w:ascii="宋体" w:hAnsi="宋体" w:eastAsia="宋体" w:cs="宋体"/>
                <w:kern w:val="0"/>
                <w:sz w:val="18"/>
                <w:szCs w:val="18"/>
              </w:rPr>
              <w:t>配置测试</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tcBorders>
              <w:left w:val="single" w:color="auto" w:sz="6" w:space="0"/>
              <w:right w:val="single" w:color="auto" w:sz="6" w:space="0"/>
            </w:tcBorders>
            <w:vAlign w:val="center"/>
          </w:tcPr>
          <w:p>
            <w:pPr>
              <w:widowControl/>
              <w:jc w:val="center"/>
              <w:rPr>
                <w:rFonts w:ascii="宋体" w:hAnsi="宋体" w:eastAsia="宋体" w:cs="宋体"/>
                <w:kern w:val="0"/>
                <w:sz w:val="18"/>
                <w:szCs w:val="18"/>
              </w:rPr>
            </w:pP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tcBorders>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tcBorders>
              <w:top w:val="single" w:color="auto" w:sz="6" w:space="0"/>
              <w:left w:val="single" w:color="auto" w:sz="6" w:space="0"/>
              <w:right w:val="single" w:color="auto" w:sz="6" w:space="0"/>
            </w:tcBorders>
            <w:vAlign w:val="center"/>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T</w:t>
            </w:r>
            <w:r>
              <w:rPr>
                <w:rFonts w:ascii="宋体" w:hAnsi="宋体" w:eastAsia="宋体" w:cs="宋体"/>
                <w:kern w:val="0"/>
                <w:sz w:val="18"/>
                <w:szCs w:val="18"/>
              </w:rPr>
              <w:t>SN</w:t>
            </w:r>
            <w:r>
              <w:rPr>
                <w:rFonts w:hint="eastAsia" w:ascii="宋体" w:hAnsi="宋体" w:eastAsia="宋体" w:cs="宋体"/>
                <w:kern w:val="0"/>
                <w:sz w:val="18"/>
                <w:szCs w:val="18"/>
              </w:rPr>
              <w:t>配置测试</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tcBorders>
              <w:left w:val="single" w:color="auto" w:sz="6" w:space="0"/>
              <w:right w:val="single" w:color="auto" w:sz="6" w:space="0"/>
            </w:tcBorders>
            <w:vAlign w:val="center"/>
          </w:tcPr>
          <w:p>
            <w:pPr>
              <w:widowControl/>
              <w:jc w:val="center"/>
              <w:rPr>
                <w:rFonts w:ascii="宋体" w:hAnsi="宋体" w:eastAsia="宋体" w:cs="宋体"/>
                <w:kern w:val="0"/>
                <w:sz w:val="18"/>
                <w:szCs w:val="18"/>
              </w:rPr>
            </w:pP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tcBorders>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测试类型（9）；</w:t>
            </w:r>
          </w:p>
        </w:tc>
        <w:tc>
          <w:tcPr>
            <w:tcW w:w="2487" w:type="dxa"/>
            <w:gridSpan w:val="2"/>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网关路由</w:t>
            </w:r>
            <w:r>
              <w:rPr>
                <w:rFonts w:ascii="宋体" w:hAnsi="宋体" w:eastAsia="宋体" w:cs="宋体"/>
                <w:b/>
                <w:bCs/>
                <w:kern w:val="0"/>
                <w:sz w:val="18"/>
                <w:szCs w:val="18"/>
              </w:rPr>
              <w:t>测试</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tcBorders>
              <w:top w:val="single" w:color="auto" w:sz="6" w:space="0"/>
              <w:left w:val="single" w:color="auto" w:sz="6" w:space="0"/>
              <w:bottom w:val="single" w:color="auto" w:sz="6" w:space="0"/>
              <w:right w:val="single" w:color="auto" w:sz="6" w:space="0"/>
            </w:tcBorders>
            <w:vAlign w:val="center"/>
          </w:tcPr>
          <w:p>
            <w:pPr>
              <w:widowControl/>
              <w:jc w:val="center"/>
              <w:rPr>
                <w:rFonts w:ascii="宋体" w:hAnsi="宋体" w:eastAsia="宋体" w:cs="宋体"/>
                <w:kern w:val="0"/>
                <w:sz w:val="18"/>
                <w:szCs w:val="18"/>
              </w:rPr>
            </w:pPr>
            <w:r>
              <w:rPr>
                <w:rFonts w:ascii="宋体" w:hAnsi="宋体" w:eastAsia="宋体" w:cs="宋体"/>
                <w:kern w:val="0"/>
                <w:sz w:val="18"/>
                <w:szCs w:val="18"/>
              </w:rPr>
              <w:t>…</w:t>
            </w:r>
          </w:p>
        </w:tc>
        <w:tc>
          <w:tcPr>
            <w:tcW w:w="4942" w:type="dxa"/>
            <w:gridSpan w:val="3"/>
            <w:tcBorders>
              <w:top w:val="single" w:color="auto" w:sz="6" w:space="0"/>
              <w:left w:val="single" w:color="auto" w:sz="6" w:space="0"/>
              <w:bottom w:val="single" w:color="auto" w:sz="6" w:space="0"/>
              <w:right w:val="single" w:color="auto" w:sz="6" w:space="0"/>
            </w:tcBorders>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tcBorders>
              <w:top w:val="single" w:color="auto" w:sz="6" w:space="0"/>
              <w:left w:val="single" w:color="auto" w:sz="6" w:space="0"/>
              <w:bottom w:val="single" w:color="auto" w:sz="6" w:space="0"/>
              <w:right w:val="single" w:color="auto" w:sz="6" w:space="0"/>
            </w:tcBorders>
            <w:shd w:val="clear" w:color="auto" w:fill="auto"/>
            <w:noWrap/>
            <w:vAlign w:val="bottom"/>
          </w:tcPr>
          <w:p>
            <w:pPr>
              <w:widowControl/>
              <w:jc w:val="center"/>
              <w:rPr>
                <w:rFonts w:ascii="宋体" w:hAnsi="宋体" w:eastAsia="宋体" w:cs="宋体"/>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测试类型（1</w:t>
            </w:r>
            <w:r>
              <w:rPr>
                <w:rFonts w:ascii="宋体" w:hAnsi="宋体" w:eastAsia="宋体" w:cs="宋体"/>
                <w:b/>
                <w:bCs/>
                <w:kern w:val="0"/>
                <w:sz w:val="18"/>
                <w:szCs w:val="18"/>
              </w:rPr>
              <w:t>0</w:t>
            </w:r>
            <w:r>
              <w:rPr>
                <w:rFonts w:hint="eastAsia" w:ascii="宋体" w:hAnsi="宋体" w:eastAsia="宋体" w:cs="宋体"/>
                <w:b/>
                <w:bCs/>
                <w:kern w:val="0"/>
                <w:sz w:val="18"/>
                <w:szCs w:val="18"/>
              </w:rPr>
              <w:t>）；</w:t>
            </w:r>
          </w:p>
        </w:tc>
        <w:tc>
          <w:tcPr>
            <w:tcW w:w="2487" w:type="dxa"/>
            <w:gridSpan w:val="2"/>
          </w:tcPr>
          <w:p>
            <w:pPr>
              <w:widowControl/>
              <w:jc w:val="center"/>
              <w:rPr>
                <w:rFonts w:ascii="宋体" w:hAnsi="宋体" w:eastAsia="宋体" w:cs="宋体"/>
                <w:b/>
                <w:bCs/>
                <w:kern w:val="0"/>
                <w:sz w:val="18"/>
                <w:szCs w:val="18"/>
              </w:rPr>
            </w:pPr>
            <w:r>
              <w:rPr>
                <w:rFonts w:ascii="宋体" w:hAnsi="宋体" w:eastAsia="宋体" w:cs="宋体"/>
                <w:b/>
                <w:bCs/>
                <w:kern w:val="0"/>
                <w:sz w:val="18"/>
                <w:szCs w:val="18"/>
              </w:rPr>
              <w:t>…</w:t>
            </w:r>
          </w:p>
        </w:tc>
        <w:tc>
          <w:tcPr>
            <w:tcW w:w="2455" w:type="dxa"/>
          </w:tcPr>
          <w:p>
            <w:pPr>
              <w:widowControl/>
              <w:jc w:val="center"/>
              <w:rPr>
                <w:rFonts w:ascii="宋体" w:hAnsi="宋体" w:eastAsia="宋体" w:cs="宋体"/>
                <w:b/>
                <w:bCs/>
                <w:kern w:val="0"/>
                <w:sz w:val="18"/>
                <w:szCs w:val="18"/>
              </w:rPr>
            </w:pPr>
            <w:r>
              <w:rPr>
                <w:rFonts w:hint="eastAsia" w:ascii="宋体" w:hAnsi="宋体" w:eastAsia="宋体" w:cs="宋体"/>
                <w:b/>
                <w:bCs/>
                <w:kern w:val="0"/>
                <w:sz w:val="18"/>
                <w:szCs w:val="18"/>
              </w:rPr>
              <w:t>测试用例条目数</w:t>
            </w:r>
          </w:p>
        </w:tc>
        <w:tc>
          <w:tcPr>
            <w:tcW w:w="2008" w:type="dxa"/>
          </w:tcPr>
          <w:p>
            <w:pPr>
              <w:widowControl/>
              <w:jc w:val="center"/>
              <w:rPr>
                <w:rFonts w:ascii="宋体" w:hAnsi="宋体" w:eastAsia="宋体" w:cs="宋体"/>
                <w:b/>
                <w:bCs/>
                <w:kern w:val="0"/>
                <w:sz w:val="18"/>
                <w:szCs w:val="18"/>
              </w:rPr>
            </w:pPr>
            <w:r>
              <w:rPr>
                <w:rFonts w:ascii="宋体" w:hAnsi="宋体" w:eastAsia="宋体" w:cs="宋体"/>
                <w:b/>
                <w:bCs/>
                <w:kern w:val="0"/>
                <w:sz w:val="18"/>
                <w:szCs w:val="18"/>
                <w:highlight w:val="yellow"/>
              </w:rPr>
              <w:t>xx</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1975"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测试项类别</w:t>
            </w:r>
          </w:p>
        </w:tc>
        <w:tc>
          <w:tcPr>
            <w:tcW w:w="4942" w:type="dxa"/>
            <w:gridSpan w:val="3"/>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测试用例</w:t>
            </w:r>
          </w:p>
        </w:tc>
        <w:tc>
          <w:tcPr>
            <w:tcW w:w="2008" w:type="dxa"/>
          </w:tcPr>
          <w:p>
            <w:pPr>
              <w:widowControl/>
              <w:jc w:val="center"/>
              <w:rPr>
                <w:rFonts w:ascii="宋体" w:hAnsi="宋体" w:eastAsia="宋体" w:cs="宋体"/>
                <w:kern w:val="0"/>
                <w:sz w:val="18"/>
                <w:szCs w:val="18"/>
              </w:rPr>
            </w:pPr>
            <w:r>
              <w:rPr>
                <w:rFonts w:hint="eastAsia" w:ascii="宋体" w:hAnsi="宋体" w:eastAsia="宋体" w:cs="宋体"/>
                <w:kern w:val="0"/>
                <w:sz w:val="18"/>
                <w:szCs w:val="18"/>
              </w:rPr>
              <w:t>适用标准/规范</w:t>
            </w: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restart"/>
            <w:shd w:val="clear" w:color="auto" w:fill="auto"/>
            <w:vAlign w:val="center"/>
          </w:tcPr>
          <w:p>
            <w:pPr>
              <w:widowControl/>
              <w:jc w:val="center"/>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p>
        </w:tc>
        <w:tc>
          <w:tcPr>
            <w:tcW w:w="2008" w:type="dxa"/>
            <w:shd w:val="clear" w:color="auto" w:fill="auto"/>
            <w:vAlign w:val="center"/>
          </w:tcPr>
          <w:p>
            <w:pPr>
              <w:widowControl/>
              <w:jc w:val="center"/>
              <w:rPr>
                <w:rFonts w:ascii="宋体" w:hAnsi="宋体" w:eastAsia="宋体" w:cs="Arial"/>
                <w:kern w:val="0"/>
                <w:sz w:val="18"/>
                <w:szCs w:val="18"/>
              </w:rPr>
            </w:pPr>
          </w:p>
        </w:tc>
      </w:tr>
      <w:tr>
        <w:tblPrEx>
          <w:tblBorders>
            <w:top w:val="single" w:color="auto" w:sz="4"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7" w:hRule="atLeast"/>
        </w:trPr>
        <w:tc>
          <w:tcPr>
            <w:tcW w:w="1975" w:type="dxa"/>
            <w:vMerge w:val="continue"/>
            <w:vAlign w:val="center"/>
          </w:tcPr>
          <w:p>
            <w:pPr>
              <w:widowControl/>
              <w:jc w:val="left"/>
              <w:rPr>
                <w:rFonts w:ascii="宋体" w:hAnsi="宋体" w:eastAsia="宋体" w:cs="宋体"/>
                <w:kern w:val="0"/>
                <w:sz w:val="18"/>
                <w:szCs w:val="18"/>
              </w:rPr>
            </w:pPr>
          </w:p>
        </w:tc>
        <w:tc>
          <w:tcPr>
            <w:tcW w:w="4942" w:type="dxa"/>
            <w:gridSpan w:val="3"/>
            <w:shd w:val="clear" w:color="auto" w:fill="auto"/>
            <w:vAlign w:val="center"/>
          </w:tcPr>
          <w:p>
            <w:pPr>
              <w:widowControl/>
              <w:rPr>
                <w:rFonts w:ascii="宋体" w:hAnsi="宋体" w:eastAsia="宋体" w:cs="宋体"/>
                <w:kern w:val="0"/>
                <w:sz w:val="18"/>
                <w:szCs w:val="18"/>
              </w:rPr>
            </w:pPr>
            <w:r>
              <w:rPr>
                <w:rFonts w:ascii="宋体" w:hAnsi="宋体" w:eastAsia="宋体" w:cs="宋体"/>
                <w:kern w:val="0"/>
                <w:sz w:val="18"/>
                <w:szCs w:val="18"/>
              </w:rPr>
              <w:t>…</w:t>
            </w:r>
          </w:p>
        </w:tc>
        <w:tc>
          <w:tcPr>
            <w:tcW w:w="2008" w:type="dxa"/>
            <w:shd w:val="clear" w:color="auto" w:fill="auto"/>
            <w:vAlign w:val="center"/>
          </w:tcPr>
          <w:p>
            <w:pPr>
              <w:widowControl/>
              <w:jc w:val="center"/>
              <w:rPr>
                <w:rFonts w:ascii="宋体" w:hAnsi="宋体" w:eastAsia="宋体" w:cs="Arial"/>
                <w:kern w:val="0"/>
                <w:sz w:val="18"/>
                <w:szCs w:val="18"/>
              </w:rPr>
            </w:pPr>
          </w:p>
        </w:tc>
      </w:tr>
    </w:tbl>
    <w:p>
      <w:pPr>
        <w:spacing w:line="660" w:lineRule="exact"/>
        <w:rPr>
          <w:rFonts w:ascii="宋体" w:hAnsi="宋体" w:eastAsia="宋体" w:cs="Times New Roman"/>
          <w:sz w:val="24"/>
          <w:szCs w:val="20"/>
        </w:rPr>
      </w:pPr>
      <w:bookmarkStart w:id="164" w:name="_Hlk132878109"/>
    </w:p>
    <w:p>
      <w:pPr>
        <w:spacing w:line="660" w:lineRule="exact"/>
        <w:rPr>
          <w:rFonts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bookmarkEnd w:id="164"/>
    <w:p>
      <w:pPr>
        <w:pStyle w:val="2"/>
        <w:rPr>
          <w:rFonts w:hAnsi="宋体" w:eastAsia="宋体" w:cs="Times New Roman"/>
          <w:b/>
          <w:color w:val="000000"/>
          <w:sz w:val="24"/>
          <w:szCs w:val="24"/>
        </w:rPr>
      </w:pP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w:t>
                    </w:r>
                    <w:r>
                      <w:fldChar w:fldCharType="end"/>
                    </w:r>
                  </w:p>
                </w:txbxContent>
              </v:textbox>
            </v:shape>
          </w:pict>
        </mc:Fallback>
      </mc:AlternateContent>
    </w:r>
  </w:p>
  <w:p>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p>
    <w:pPr>
      <w:pStyle w:val="2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3"/>
  </w:num>
  <w:num w:numId="6">
    <w:abstractNumId w:val="6"/>
  </w:num>
  <w:num w:numId="7">
    <w:abstractNumId w:val="1"/>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27A"/>
    <w:rsid w:val="00E34C35"/>
    <w:rsid w:val="00E650A8"/>
    <w:rsid w:val="00E878B4"/>
    <w:rsid w:val="00EB3D00"/>
    <w:rsid w:val="00F71720"/>
    <w:rsid w:val="00FE040F"/>
    <w:rsid w:val="00FE42B3"/>
    <w:rsid w:val="014832F2"/>
    <w:rsid w:val="014D51C1"/>
    <w:rsid w:val="01714809"/>
    <w:rsid w:val="01C012ED"/>
    <w:rsid w:val="01C52478"/>
    <w:rsid w:val="027408EE"/>
    <w:rsid w:val="02963F39"/>
    <w:rsid w:val="02B3095A"/>
    <w:rsid w:val="02BA7274"/>
    <w:rsid w:val="02BE7DD7"/>
    <w:rsid w:val="03251978"/>
    <w:rsid w:val="0325718A"/>
    <w:rsid w:val="035E0DBD"/>
    <w:rsid w:val="03771E7F"/>
    <w:rsid w:val="04094141"/>
    <w:rsid w:val="042921B6"/>
    <w:rsid w:val="043B72BB"/>
    <w:rsid w:val="04504B3F"/>
    <w:rsid w:val="04AD02B8"/>
    <w:rsid w:val="04D56E5D"/>
    <w:rsid w:val="04DF17D4"/>
    <w:rsid w:val="05412745"/>
    <w:rsid w:val="05491761"/>
    <w:rsid w:val="05A351AD"/>
    <w:rsid w:val="05F9748A"/>
    <w:rsid w:val="06266F78"/>
    <w:rsid w:val="063E7B7A"/>
    <w:rsid w:val="06582413"/>
    <w:rsid w:val="067E33B8"/>
    <w:rsid w:val="06E82FCB"/>
    <w:rsid w:val="06F34B95"/>
    <w:rsid w:val="07002E63"/>
    <w:rsid w:val="07571DAC"/>
    <w:rsid w:val="079756DF"/>
    <w:rsid w:val="08BB45BC"/>
    <w:rsid w:val="08E64121"/>
    <w:rsid w:val="0942017F"/>
    <w:rsid w:val="09BA1FBB"/>
    <w:rsid w:val="09CB139F"/>
    <w:rsid w:val="0A0106F5"/>
    <w:rsid w:val="0A112AB7"/>
    <w:rsid w:val="0A342878"/>
    <w:rsid w:val="0A981059"/>
    <w:rsid w:val="0AD71BC7"/>
    <w:rsid w:val="0AF420EB"/>
    <w:rsid w:val="0B2B2BF5"/>
    <w:rsid w:val="0B2F3908"/>
    <w:rsid w:val="0B3F6206"/>
    <w:rsid w:val="0B526E55"/>
    <w:rsid w:val="0BE12DB6"/>
    <w:rsid w:val="0BE70A92"/>
    <w:rsid w:val="0BFC6504"/>
    <w:rsid w:val="0C050BDF"/>
    <w:rsid w:val="0C345AD1"/>
    <w:rsid w:val="0C626CE4"/>
    <w:rsid w:val="0D0C2B7B"/>
    <w:rsid w:val="0D9308F8"/>
    <w:rsid w:val="0E1A1D85"/>
    <w:rsid w:val="0E750568"/>
    <w:rsid w:val="0E9C3C97"/>
    <w:rsid w:val="0F2D7A80"/>
    <w:rsid w:val="0F4277E5"/>
    <w:rsid w:val="0F784FB5"/>
    <w:rsid w:val="0FA75561"/>
    <w:rsid w:val="0FB83603"/>
    <w:rsid w:val="0FCA77F1"/>
    <w:rsid w:val="0FCD5DCC"/>
    <w:rsid w:val="0FDD5579"/>
    <w:rsid w:val="100F5919"/>
    <w:rsid w:val="10270545"/>
    <w:rsid w:val="108A1D4B"/>
    <w:rsid w:val="10A10111"/>
    <w:rsid w:val="10BE093E"/>
    <w:rsid w:val="10D52BB6"/>
    <w:rsid w:val="10E20BD8"/>
    <w:rsid w:val="111B0FE9"/>
    <w:rsid w:val="112C77F4"/>
    <w:rsid w:val="115F67A8"/>
    <w:rsid w:val="119A7465"/>
    <w:rsid w:val="11C07DA5"/>
    <w:rsid w:val="12437AFC"/>
    <w:rsid w:val="12491386"/>
    <w:rsid w:val="12E60579"/>
    <w:rsid w:val="13525B1D"/>
    <w:rsid w:val="13541F01"/>
    <w:rsid w:val="13695B36"/>
    <w:rsid w:val="1372609F"/>
    <w:rsid w:val="13CC3A1C"/>
    <w:rsid w:val="14504752"/>
    <w:rsid w:val="145A6A37"/>
    <w:rsid w:val="1467440F"/>
    <w:rsid w:val="147E306D"/>
    <w:rsid w:val="15433A9B"/>
    <w:rsid w:val="15FC2F04"/>
    <w:rsid w:val="16181FAC"/>
    <w:rsid w:val="168756A0"/>
    <w:rsid w:val="16F94849"/>
    <w:rsid w:val="17045E51"/>
    <w:rsid w:val="172011D4"/>
    <w:rsid w:val="17252C3B"/>
    <w:rsid w:val="173F0A2E"/>
    <w:rsid w:val="17770BC2"/>
    <w:rsid w:val="17860E2F"/>
    <w:rsid w:val="17A119AA"/>
    <w:rsid w:val="18586F2B"/>
    <w:rsid w:val="19A766B9"/>
    <w:rsid w:val="19CE76BA"/>
    <w:rsid w:val="19DB686C"/>
    <w:rsid w:val="19F26070"/>
    <w:rsid w:val="19F97C8B"/>
    <w:rsid w:val="1A1523CE"/>
    <w:rsid w:val="1AA730BD"/>
    <w:rsid w:val="1B1C40ED"/>
    <w:rsid w:val="1B333D5D"/>
    <w:rsid w:val="1B587618"/>
    <w:rsid w:val="1B5F19C7"/>
    <w:rsid w:val="1C1C709B"/>
    <w:rsid w:val="1C4F6795"/>
    <w:rsid w:val="1C9F6814"/>
    <w:rsid w:val="1D0B56BA"/>
    <w:rsid w:val="1D5C514E"/>
    <w:rsid w:val="1D865D14"/>
    <w:rsid w:val="1D8705EC"/>
    <w:rsid w:val="1E43150B"/>
    <w:rsid w:val="1E703623"/>
    <w:rsid w:val="1E8B1D92"/>
    <w:rsid w:val="1EA93E80"/>
    <w:rsid w:val="1ED33FB6"/>
    <w:rsid w:val="1EE81332"/>
    <w:rsid w:val="1F32415A"/>
    <w:rsid w:val="1F702632"/>
    <w:rsid w:val="1F7E2174"/>
    <w:rsid w:val="20107567"/>
    <w:rsid w:val="20AB56C6"/>
    <w:rsid w:val="21547789"/>
    <w:rsid w:val="2176507C"/>
    <w:rsid w:val="21BE35AF"/>
    <w:rsid w:val="21C11174"/>
    <w:rsid w:val="22244B28"/>
    <w:rsid w:val="22467FD4"/>
    <w:rsid w:val="229451FD"/>
    <w:rsid w:val="22A12DB6"/>
    <w:rsid w:val="236356D1"/>
    <w:rsid w:val="23A75A11"/>
    <w:rsid w:val="23A91C83"/>
    <w:rsid w:val="23C962E8"/>
    <w:rsid w:val="247E4FED"/>
    <w:rsid w:val="24AD78E0"/>
    <w:rsid w:val="24B30BE8"/>
    <w:rsid w:val="24E34060"/>
    <w:rsid w:val="252107FC"/>
    <w:rsid w:val="253A0491"/>
    <w:rsid w:val="25E036B2"/>
    <w:rsid w:val="25E9082A"/>
    <w:rsid w:val="25F42473"/>
    <w:rsid w:val="26AF2D79"/>
    <w:rsid w:val="26B34B91"/>
    <w:rsid w:val="270D66E8"/>
    <w:rsid w:val="27514612"/>
    <w:rsid w:val="278B0DAB"/>
    <w:rsid w:val="279C6B0E"/>
    <w:rsid w:val="27A64735"/>
    <w:rsid w:val="27CC4DF2"/>
    <w:rsid w:val="281864F2"/>
    <w:rsid w:val="28593392"/>
    <w:rsid w:val="286903EF"/>
    <w:rsid w:val="287F5DD3"/>
    <w:rsid w:val="288047CB"/>
    <w:rsid w:val="289E62FA"/>
    <w:rsid w:val="291E2CA6"/>
    <w:rsid w:val="29331862"/>
    <w:rsid w:val="296028EA"/>
    <w:rsid w:val="29822267"/>
    <w:rsid w:val="299741EC"/>
    <w:rsid w:val="299E147F"/>
    <w:rsid w:val="29C32A87"/>
    <w:rsid w:val="29CF26DC"/>
    <w:rsid w:val="2A1C5DA0"/>
    <w:rsid w:val="2A200D39"/>
    <w:rsid w:val="2A507EFF"/>
    <w:rsid w:val="2AAA6513"/>
    <w:rsid w:val="2AB213F5"/>
    <w:rsid w:val="2ADC05A4"/>
    <w:rsid w:val="2B6F0D7F"/>
    <w:rsid w:val="2B8716BD"/>
    <w:rsid w:val="2B8B76FF"/>
    <w:rsid w:val="2BD5034F"/>
    <w:rsid w:val="2CD935AF"/>
    <w:rsid w:val="2D025012"/>
    <w:rsid w:val="2D4178F0"/>
    <w:rsid w:val="2D747B5F"/>
    <w:rsid w:val="2DAE631A"/>
    <w:rsid w:val="2DD877E0"/>
    <w:rsid w:val="2DE616C9"/>
    <w:rsid w:val="2DFC2451"/>
    <w:rsid w:val="2E3422F8"/>
    <w:rsid w:val="2E5158AC"/>
    <w:rsid w:val="2E652751"/>
    <w:rsid w:val="2E6E566D"/>
    <w:rsid w:val="2E7F188E"/>
    <w:rsid w:val="2EBA0CEE"/>
    <w:rsid w:val="2EBC0905"/>
    <w:rsid w:val="2EC73739"/>
    <w:rsid w:val="2ECB319A"/>
    <w:rsid w:val="2EFB1B0E"/>
    <w:rsid w:val="2F3E547B"/>
    <w:rsid w:val="2F5C684F"/>
    <w:rsid w:val="2FAA2FD8"/>
    <w:rsid w:val="2FF508B6"/>
    <w:rsid w:val="30534F57"/>
    <w:rsid w:val="307776D1"/>
    <w:rsid w:val="30862574"/>
    <w:rsid w:val="30B631E1"/>
    <w:rsid w:val="30DC4F4C"/>
    <w:rsid w:val="30F54260"/>
    <w:rsid w:val="311933AA"/>
    <w:rsid w:val="317D15BB"/>
    <w:rsid w:val="31D07E6C"/>
    <w:rsid w:val="31D125D7"/>
    <w:rsid w:val="32016DBC"/>
    <w:rsid w:val="32142842"/>
    <w:rsid w:val="32222E32"/>
    <w:rsid w:val="323F65DA"/>
    <w:rsid w:val="32412074"/>
    <w:rsid w:val="328D7CD9"/>
    <w:rsid w:val="32DE0199"/>
    <w:rsid w:val="333C2963"/>
    <w:rsid w:val="335B2774"/>
    <w:rsid w:val="33633703"/>
    <w:rsid w:val="33A4642E"/>
    <w:rsid w:val="33A76A1C"/>
    <w:rsid w:val="33D4039C"/>
    <w:rsid w:val="33D47E05"/>
    <w:rsid w:val="3413677D"/>
    <w:rsid w:val="342B544B"/>
    <w:rsid w:val="345E036E"/>
    <w:rsid w:val="34C47852"/>
    <w:rsid w:val="34DE1E4F"/>
    <w:rsid w:val="34F07DB1"/>
    <w:rsid w:val="353713BD"/>
    <w:rsid w:val="353A782C"/>
    <w:rsid w:val="35D354B8"/>
    <w:rsid w:val="35D4025C"/>
    <w:rsid w:val="35E86141"/>
    <w:rsid w:val="362666BC"/>
    <w:rsid w:val="368A6B11"/>
    <w:rsid w:val="36E20DE2"/>
    <w:rsid w:val="37085B1F"/>
    <w:rsid w:val="372E04CB"/>
    <w:rsid w:val="37875616"/>
    <w:rsid w:val="38E070F2"/>
    <w:rsid w:val="38F1355F"/>
    <w:rsid w:val="390D33AB"/>
    <w:rsid w:val="391E6D06"/>
    <w:rsid w:val="3950003A"/>
    <w:rsid w:val="3A074847"/>
    <w:rsid w:val="3AA90FE6"/>
    <w:rsid w:val="3AA9318F"/>
    <w:rsid w:val="3AB62DA0"/>
    <w:rsid w:val="3B7D3FD5"/>
    <w:rsid w:val="3B823DDF"/>
    <w:rsid w:val="3BD827B4"/>
    <w:rsid w:val="3C237ED3"/>
    <w:rsid w:val="3C4D1444"/>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083393E"/>
    <w:rsid w:val="40B97058"/>
    <w:rsid w:val="412732B7"/>
    <w:rsid w:val="4127791F"/>
    <w:rsid w:val="41281794"/>
    <w:rsid w:val="413C1FDF"/>
    <w:rsid w:val="414F762A"/>
    <w:rsid w:val="417570A9"/>
    <w:rsid w:val="41806A69"/>
    <w:rsid w:val="41B0259C"/>
    <w:rsid w:val="41BC6F1C"/>
    <w:rsid w:val="41EF2363"/>
    <w:rsid w:val="41F77860"/>
    <w:rsid w:val="424A4B98"/>
    <w:rsid w:val="42581D3A"/>
    <w:rsid w:val="42E307C2"/>
    <w:rsid w:val="42ED2EA4"/>
    <w:rsid w:val="42F6649D"/>
    <w:rsid w:val="42FE0080"/>
    <w:rsid w:val="43220C61"/>
    <w:rsid w:val="43315D2E"/>
    <w:rsid w:val="43824A1C"/>
    <w:rsid w:val="43D110E1"/>
    <w:rsid w:val="43E85A8C"/>
    <w:rsid w:val="43E873C9"/>
    <w:rsid w:val="448B3F2B"/>
    <w:rsid w:val="44905B1F"/>
    <w:rsid w:val="44E00047"/>
    <w:rsid w:val="45246A6A"/>
    <w:rsid w:val="452847AC"/>
    <w:rsid w:val="45316885"/>
    <w:rsid w:val="45637592"/>
    <w:rsid w:val="45A95EE9"/>
    <w:rsid w:val="45FB0F21"/>
    <w:rsid w:val="46167166"/>
    <w:rsid w:val="470703F1"/>
    <w:rsid w:val="47200EE3"/>
    <w:rsid w:val="47435AC2"/>
    <w:rsid w:val="47544B78"/>
    <w:rsid w:val="47587AF7"/>
    <w:rsid w:val="47745A86"/>
    <w:rsid w:val="478E12E1"/>
    <w:rsid w:val="47E239AC"/>
    <w:rsid w:val="480F4B73"/>
    <w:rsid w:val="48303D17"/>
    <w:rsid w:val="48DB38E3"/>
    <w:rsid w:val="49001B5E"/>
    <w:rsid w:val="49170DBF"/>
    <w:rsid w:val="49376DB0"/>
    <w:rsid w:val="49720ADA"/>
    <w:rsid w:val="49804BB7"/>
    <w:rsid w:val="49826DCB"/>
    <w:rsid w:val="499013E7"/>
    <w:rsid w:val="49C8088A"/>
    <w:rsid w:val="4A301C93"/>
    <w:rsid w:val="4A3302AB"/>
    <w:rsid w:val="4AC85D49"/>
    <w:rsid w:val="4AE308A9"/>
    <w:rsid w:val="4B260F2D"/>
    <w:rsid w:val="4B9A1456"/>
    <w:rsid w:val="4BA32C82"/>
    <w:rsid w:val="4BE70627"/>
    <w:rsid w:val="4C0A5AE1"/>
    <w:rsid w:val="4C0B5575"/>
    <w:rsid w:val="4C130AB8"/>
    <w:rsid w:val="4C5A284D"/>
    <w:rsid w:val="4CB96B43"/>
    <w:rsid w:val="4CC4300C"/>
    <w:rsid w:val="4CC75FCC"/>
    <w:rsid w:val="4CD63947"/>
    <w:rsid w:val="4CFC49F4"/>
    <w:rsid w:val="4D073D73"/>
    <w:rsid w:val="4D1E27BA"/>
    <w:rsid w:val="4D23574A"/>
    <w:rsid w:val="4D27359B"/>
    <w:rsid w:val="4D453A21"/>
    <w:rsid w:val="4D4C4DB0"/>
    <w:rsid w:val="4D7322D5"/>
    <w:rsid w:val="4DA13FE0"/>
    <w:rsid w:val="4DCD1D1F"/>
    <w:rsid w:val="4DD7034C"/>
    <w:rsid w:val="4DE312CB"/>
    <w:rsid w:val="4DF5318E"/>
    <w:rsid w:val="4E1F4862"/>
    <w:rsid w:val="4E2E4393"/>
    <w:rsid w:val="4E535EF2"/>
    <w:rsid w:val="4EC469D0"/>
    <w:rsid w:val="4EFD45B3"/>
    <w:rsid w:val="4F041AB3"/>
    <w:rsid w:val="4F08773C"/>
    <w:rsid w:val="4F31409F"/>
    <w:rsid w:val="4F5E670E"/>
    <w:rsid w:val="4F846A83"/>
    <w:rsid w:val="4FC169F8"/>
    <w:rsid w:val="4FE70DC0"/>
    <w:rsid w:val="50070E2C"/>
    <w:rsid w:val="504B57F2"/>
    <w:rsid w:val="508F1B83"/>
    <w:rsid w:val="50C62BC7"/>
    <w:rsid w:val="50F72A66"/>
    <w:rsid w:val="5123368C"/>
    <w:rsid w:val="5130747C"/>
    <w:rsid w:val="515C765A"/>
    <w:rsid w:val="51905BB3"/>
    <w:rsid w:val="51946FCB"/>
    <w:rsid w:val="51DD796B"/>
    <w:rsid w:val="51DF373B"/>
    <w:rsid w:val="52EF4CB5"/>
    <w:rsid w:val="52F959F0"/>
    <w:rsid w:val="5302488E"/>
    <w:rsid w:val="5311062D"/>
    <w:rsid w:val="53136173"/>
    <w:rsid w:val="534B12B7"/>
    <w:rsid w:val="539A4AC7"/>
    <w:rsid w:val="542631B6"/>
    <w:rsid w:val="5447483C"/>
    <w:rsid w:val="54A61722"/>
    <w:rsid w:val="54B31FAF"/>
    <w:rsid w:val="54F90A9B"/>
    <w:rsid w:val="55326D63"/>
    <w:rsid w:val="555D1A10"/>
    <w:rsid w:val="5680398D"/>
    <w:rsid w:val="56922C83"/>
    <w:rsid w:val="56AC4A78"/>
    <w:rsid w:val="56DB16B9"/>
    <w:rsid w:val="571E0DF5"/>
    <w:rsid w:val="577A3463"/>
    <w:rsid w:val="57F967AD"/>
    <w:rsid w:val="58052975"/>
    <w:rsid w:val="584D1A65"/>
    <w:rsid w:val="584F5C44"/>
    <w:rsid w:val="58533496"/>
    <w:rsid w:val="58C30678"/>
    <w:rsid w:val="58E525CA"/>
    <w:rsid w:val="593D045A"/>
    <w:rsid w:val="5960739E"/>
    <w:rsid w:val="59896D0A"/>
    <w:rsid w:val="59B72684"/>
    <w:rsid w:val="5A36306F"/>
    <w:rsid w:val="5A9579AE"/>
    <w:rsid w:val="5AC468CD"/>
    <w:rsid w:val="5B342B9A"/>
    <w:rsid w:val="5B377B73"/>
    <w:rsid w:val="5B5953B0"/>
    <w:rsid w:val="5B630802"/>
    <w:rsid w:val="5B807F68"/>
    <w:rsid w:val="5BD91F04"/>
    <w:rsid w:val="5C034D53"/>
    <w:rsid w:val="5C137906"/>
    <w:rsid w:val="5D0E780C"/>
    <w:rsid w:val="5D1A6379"/>
    <w:rsid w:val="5DC34C1A"/>
    <w:rsid w:val="5E1D6F56"/>
    <w:rsid w:val="5E52187F"/>
    <w:rsid w:val="5E6A13CD"/>
    <w:rsid w:val="5E705D15"/>
    <w:rsid w:val="5E7303EE"/>
    <w:rsid w:val="5E93326C"/>
    <w:rsid w:val="5E9F1A7A"/>
    <w:rsid w:val="5EFB4BA4"/>
    <w:rsid w:val="5F5F46B5"/>
    <w:rsid w:val="5F9E76ED"/>
    <w:rsid w:val="5FB25360"/>
    <w:rsid w:val="5FBA3CC0"/>
    <w:rsid w:val="5FD90D61"/>
    <w:rsid w:val="60177697"/>
    <w:rsid w:val="602329DB"/>
    <w:rsid w:val="607777D6"/>
    <w:rsid w:val="60BC76A1"/>
    <w:rsid w:val="610B7637"/>
    <w:rsid w:val="612279BA"/>
    <w:rsid w:val="615F5624"/>
    <w:rsid w:val="61D215CF"/>
    <w:rsid w:val="625C563D"/>
    <w:rsid w:val="626A1704"/>
    <w:rsid w:val="62B362C8"/>
    <w:rsid w:val="62C1330E"/>
    <w:rsid w:val="62E21FE6"/>
    <w:rsid w:val="6342085E"/>
    <w:rsid w:val="636F415C"/>
    <w:rsid w:val="64917820"/>
    <w:rsid w:val="64AA1CC5"/>
    <w:rsid w:val="6528341F"/>
    <w:rsid w:val="656B2909"/>
    <w:rsid w:val="65A3045D"/>
    <w:rsid w:val="65C634F9"/>
    <w:rsid w:val="65D97752"/>
    <w:rsid w:val="65E25E59"/>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8B574F"/>
    <w:rsid w:val="689A5E59"/>
    <w:rsid w:val="68A94E70"/>
    <w:rsid w:val="68B0223F"/>
    <w:rsid w:val="68EE72DF"/>
    <w:rsid w:val="69485FEA"/>
    <w:rsid w:val="69677DC0"/>
    <w:rsid w:val="69937EC7"/>
    <w:rsid w:val="69D64558"/>
    <w:rsid w:val="6A042548"/>
    <w:rsid w:val="6A2E6DAF"/>
    <w:rsid w:val="6A350C4E"/>
    <w:rsid w:val="6A471EFD"/>
    <w:rsid w:val="6A647785"/>
    <w:rsid w:val="6AB57116"/>
    <w:rsid w:val="6B17424A"/>
    <w:rsid w:val="6B2218FA"/>
    <w:rsid w:val="6B691672"/>
    <w:rsid w:val="6B8544B3"/>
    <w:rsid w:val="6BE97F42"/>
    <w:rsid w:val="6C5E6A51"/>
    <w:rsid w:val="6C64581A"/>
    <w:rsid w:val="6C6513C3"/>
    <w:rsid w:val="6C744268"/>
    <w:rsid w:val="6C913746"/>
    <w:rsid w:val="6CD62D03"/>
    <w:rsid w:val="6CD97FB6"/>
    <w:rsid w:val="6D0E5050"/>
    <w:rsid w:val="6D4B22B8"/>
    <w:rsid w:val="6D930013"/>
    <w:rsid w:val="6E1A1656"/>
    <w:rsid w:val="6E231DD6"/>
    <w:rsid w:val="6E5A5288"/>
    <w:rsid w:val="6EAC5256"/>
    <w:rsid w:val="6EE013EE"/>
    <w:rsid w:val="6EE079F1"/>
    <w:rsid w:val="6EE42C42"/>
    <w:rsid w:val="6F1352D6"/>
    <w:rsid w:val="6F7F7CB0"/>
    <w:rsid w:val="6FE0165C"/>
    <w:rsid w:val="6FE10C44"/>
    <w:rsid w:val="70222744"/>
    <w:rsid w:val="70422316"/>
    <w:rsid w:val="704A4D27"/>
    <w:rsid w:val="706D25DF"/>
    <w:rsid w:val="706D2B21"/>
    <w:rsid w:val="707B1384"/>
    <w:rsid w:val="70857A34"/>
    <w:rsid w:val="70985D3C"/>
    <w:rsid w:val="71047C73"/>
    <w:rsid w:val="7109004F"/>
    <w:rsid w:val="71103167"/>
    <w:rsid w:val="712B2DAA"/>
    <w:rsid w:val="712E56F7"/>
    <w:rsid w:val="71691ABB"/>
    <w:rsid w:val="71AE1AEA"/>
    <w:rsid w:val="71CF3B6C"/>
    <w:rsid w:val="71F80F33"/>
    <w:rsid w:val="722922C6"/>
    <w:rsid w:val="72CB03A1"/>
    <w:rsid w:val="732D4B5D"/>
    <w:rsid w:val="73393C88"/>
    <w:rsid w:val="7362513F"/>
    <w:rsid w:val="73771D49"/>
    <w:rsid w:val="73A1354E"/>
    <w:rsid w:val="748044F1"/>
    <w:rsid w:val="74A11E7D"/>
    <w:rsid w:val="75590B0A"/>
    <w:rsid w:val="7582279F"/>
    <w:rsid w:val="75843EB5"/>
    <w:rsid w:val="75BB71AF"/>
    <w:rsid w:val="75F01962"/>
    <w:rsid w:val="760E19DF"/>
    <w:rsid w:val="76676A53"/>
    <w:rsid w:val="767B77CE"/>
    <w:rsid w:val="76931EC5"/>
    <w:rsid w:val="76B620A1"/>
    <w:rsid w:val="76F20814"/>
    <w:rsid w:val="77462524"/>
    <w:rsid w:val="779A6594"/>
    <w:rsid w:val="77A21064"/>
    <w:rsid w:val="77E34EB2"/>
    <w:rsid w:val="781564B8"/>
    <w:rsid w:val="78224ACF"/>
    <w:rsid w:val="78CD6DCC"/>
    <w:rsid w:val="78D07CAF"/>
    <w:rsid w:val="78DE12D7"/>
    <w:rsid w:val="79210683"/>
    <w:rsid w:val="799C3465"/>
    <w:rsid w:val="79B14EC4"/>
    <w:rsid w:val="79D73ACF"/>
    <w:rsid w:val="7A2A6B4A"/>
    <w:rsid w:val="7A681070"/>
    <w:rsid w:val="7A860C7C"/>
    <w:rsid w:val="7AB879FE"/>
    <w:rsid w:val="7B0E7797"/>
    <w:rsid w:val="7B3264DD"/>
    <w:rsid w:val="7B81188A"/>
    <w:rsid w:val="7B8F7102"/>
    <w:rsid w:val="7B9E2902"/>
    <w:rsid w:val="7BC854E2"/>
    <w:rsid w:val="7C0562EC"/>
    <w:rsid w:val="7C27683F"/>
    <w:rsid w:val="7C490589"/>
    <w:rsid w:val="7C7C095E"/>
    <w:rsid w:val="7CA73C2D"/>
    <w:rsid w:val="7CB14B4D"/>
    <w:rsid w:val="7CC145C3"/>
    <w:rsid w:val="7CF26969"/>
    <w:rsid w:val="7D25523C"/>
    <w:rsid w:val="7D507068"/>
    <w:rsid w:val="7D5B67C5"/>
    <w:rsid w:val="7DB23041"/>
    <w:rsid w:val="7DDF11A4"/>
    <w:rsid w:val="7E344020"/>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7"/>
    <w:qFormat/>
    <w:uiPriority w:val="9"/>
    <w:pPr>
      <w:keepNext/>
      <w:keepLines/>
      <w:jc w:val="center"/>
      <w:outlineLvl w:val="0"/>
    </w:pPr>
    <w:rPr>
      <w:b/>
      <w:bCs/>
      <w:kern w:val="44"/>
      <w:sz w:val="36"/>
      <w:szCs w:val="44"/>
    </w:rPr>
  </w:style>
  <w:style w:type="paragraph" w:styleId="4">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2"/>
    <w:qFormat/>
    <w:uiPriority w:val="0"/>
    <w:rPr>
      <w:rFonts w:ascii="宋体" w:hAnsi="Courier New"/>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0"/>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1"/>
    <w:qFormat/>
    <w:uiPriority w:val="0"/>
    <w:pPr>
      <w:jc w:val="left"/>
    </w:pPr>
  </w:style>
  <w:style w:type="paragraph" w:styleId="14">
    <w:name w:val="Body Text"/>
    <w:basedOn w:val="1"/>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79"/>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3"/>
    <w:qFormat/>
    <w:uiPriority w:val="0"/>
    <w:pPr>
      <w:ind w:left="100" w:leftChars="2500"/>
    </w:pPr>
    <w:rPr>
      <w:sz w:val="24"/>
    </w:rPr>
  </w:style>
  <w:style w:type="paragraph" w:styleId="21">
    <w:name w:val="Body Text Indent 2"/>
    <w:basedOn w:val="1"/>
    <w:link w:val="51"/>
    <w:qFormat/>
    <w:uiPriority w:val="0"/>
    <w:pPr>
      <w:spacing w:after="120" w:line="480" w:lineRule="auto"/>
      <w:ind w:left="420" w:leftChars="200"/>
    </w:pPr>
  </w:style>
  <w:style w:type="paragraph" w:styleId="22">
    <w:name w:val="Balloon Text"/>
    <w:basedOn w:val="1"/>
    <w:link w:val="67"/>
    <w:qFormat/>
    <w:uiPriority w:val="0"/>
    <w:rPr>
      <w:sz w:val="18"/>
    </w:rPr>
  </w:style>
  <w:style w:type="paragraph" w:styleId="23">
    <w:name w:val="footer"/>
    <w:basedOn w:val="1"/>
    <w:link w:val="73"/>
    <w:qFormat/>
    <w:uiPriority w:val="99"/>
    <w:pPr>
      <w:tabs>
        <w:tab w:val="center" w:pos="4153"/>
        <w:tab w:val="right" w:pos="8306"/>
      </w:tabs>
      <w:snapToGrid w:val="0"/>
      <w:jc w:val="left"/>
    </w:pPr>
    <w:rPr>
      <w:sz w:val="18"/>
    </w:rPr>
  </w:style>
  <w:style w:type="paragraph" w:styleId="24">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6">
    <w:name w:val="toc 4"/>
    <w:basedOn w:val="1"/>
    <w:next w:val="1"/>
    <w:qFormat/>
    <w:uiPriority w:val="39"/>
    <w:pPr>
      <w:ind w:left="720"/>
      <w:jc w:val="left"/>
    </w:pPr>
    <w:rPr>
      <w:rFonts w:ascii="Calibri" w:hAnsi="Calibri" w:eastAsia="宋体" w:cs="Times New Roman"/>
      <w:sz w:val="18"/>
      <w:szCs w:val="18"/>
    </w:rPr>
  </w:style>
  <w:style w:type="paragraph" w:styleId="27">
    <w:name w:val="List"/>
    <w:basedOn w:val="1"/>
    <w:qFormat/>
    <w:uiPriority w:val="99"/>
    <w:pPr>
      <w:ind w:left="420" w:hanging="420"/>
    </w:pPr>
    <w:rPr>
      <w:rFonts w:ascii="Times New Roman" w:hAnsi="Times New Roman" w:eastAsia="宋体" w:cs="Times New Roman"/>
      <w:szCs w:val="20"/>
    </w:rPr>
  </w:style>
  <w:style w:type="paragraph" w:styleId="28">
    <w:name w:val="toc 6"/>
    <w:basedOn w:val="1"/>
    <w:next w:val="1"/>
    <w:qFormat/>
    <w:uiPriority w:val="39"/>
    <w:pPr>
      <w:ind w:left="1200"/>
      <w:jc w:val="left"/>
    </w:pPr>
    <w:rPr>
      <w:rFonts w:ascii="Calibri" w:hAnsi="Calibri" w:eastAsia="宋体" w:cs="Times New Roman"/>
      <w:sz w:val="18"/>
      <w:szCs w:val="18"/>
    </w:rPr>
  </w:style>
  <w:style w:type="paragraph" w:styleId="29">
    <w:name w:val="Body Text Indent 3"/>
    <w:basedOn w:val="1"/>
    <w:link w:val="53"/>
    <w:qFormat/>
    <w:uiPriority w:val="0"/>
    <w:pPr>
      <w:spacing w:after="120"/>
      <w:ind w:left="420" w:leftChars="200"/>
    </w:pPr>
    <w:rPr>
      <w:sz w:val="16"/>
    </w:rPr>
  </w:style>
  <w:style w:type="paragraph" w:styleId="30">
    <w:name w:val="toc 2"/>
    <w:basedOn w:val="1"/>
    <w:next w:val="1"/>
    <w:unhideWhenUsed/>
    <w:qFormat/>
    <w:uiPriority w:val="39"/>
    <w:pPr>
      <w:ind w:left="420" w:leftChars="200"/>
    </w:pPr>
    <w:rPr>
      <w:rFonts w:ascii="Calibri" w:hAnsi="Calibri" w:eastAsia="宋体" w:cs="Times New Roman"/>
      <w:szCs w:val="20"/>
    </w:rPr>
  </w:style>
  <w:style w:type="paragraph" w:styleId="31">
    <w:name w:val="toc 9"/>
    <w:basedOn w:val="1"/>
    <w:next w:val="1"/>
    <w:qFormat/>
    <w:uiPriority w:val="39"/>
    <w:pPr>
      <w:ind w:left="1920"/>
      <w:jc w:val="left"/>
    </w:pPr>
    <w:rPr>
      <w:rFonts w:ascii="Calibri" w:hAnsi="Calibri" w:eastAsia="宋体" w:cs="Times New Roman"/>
      <w:sz w:val="18"/>
      <w:szCs w:val="18"/>
    </w:rPr>
  </w:style>
  <w:style w:type="paragraph" w:styleId="32">
    <w:name w:val="Normal (Web)"/>
    <w:basedOn w:val="1"/>
    <w:qFormat/>
    <w:uiPriority w:val="99"/>
    <w:rPr>
      <w:rFonts w:ascii="Calibri" w:hAnsi="Calibri" w:eastAsia="宋体" w:cs="Times New Roman"/>
      <w:sz w:val="24"/>
      <w:szCs w:val="20"/>
    </w:rPr>
  </w:style>
  <w:style w:type="paragraph" w:styleId="33">
    <w:name w:val="index 1"/>
    <w:basedOn w:val="1"/>
    <w:next w:val="1"/>
    <w:qFormat/>
    <w:uiPriority w:val="99"/>
    <w:rPr>
      <w:rFonts w:ascii="Calibri" w:hAnsi="Calibri" w:eastAsia="宋体" w:cs="Times New Roman"/>
      <w:sz w:val="24"/>
      <w:szCs w:val="24"/>
    </w:rPr>
  </w:style>
  <w:style w:type="paragraph" w:styleId="34">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5">
    <w:name w:val="annotation subject"/>
    <w:basedOn w:val="13"/>
    <w:next w:val="13"/>
    <w:link w:val="52"/>
    <w:qFormat/>
    <w:uiPriority w:val="0"/>
    <w:rPr>
      <w:b/>
    </w:rPr>
  </w:style>
  <w:style w:type="paragraph" w:styleId="36">
    <w:name w:val="Body Text First Indent 2"/>
    <w:basedOn w:val="15"/>
    <w:semiHidden/>
    <w:qFormat/>
    <w:uiPriority w:val="99"/>
    <w:pPr>
      <w:spacing w:line="276" w:lineRule="auto"/>
      <w:ind w:firstLine="420" w:firstLineChars="200"/>
      <w:jc w:val="left"/>
    </w:pPr>
  </w:style>
  <w:style w:type="table" w:styleId="38">
    <w:name w:val="Table Grid"/>
    <w:basedOn w:val="3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22"/>
    <w:rPr>
      <w:b/>
    </w:rPr>
  </w:style>
  <w:style w:type="character" w:styleId="41">
    <w:name w:val="page number"/>
    <w:basedOn w:val="39"/>
    <w:qFormat/>
    <w:uiPriority w:val="99"/>
    <w:rPr>
      <w:rFonts w:cs="Times New Roman"/>
    </w:rPr>
  </w:style>
  <w:style w:type="character" w:styleId="42">
    <w:name w:val="FollowedHyperlink"/>
    <w:basedOn w:val="39"/>
    <w:qFormat/>
    <w:uiPriority w:val="99"/>
    <w:rPr>
      <w:color w:val="800080"/>
      <w:u w:val="single"/>
    </w:rPr>
  </w:style>
  <w:style w:type="character" w:styleId="43">
    <w:name w:val="Emphasis"/>
    <w:qFormat/>
    <w:uiPriority w:val="99"/>
    <w:rPr>
      <w:rFonts w:cs="Times New Roman"/>
      <w:color w:val="auto"/>
    </w:rPr>
  </w:style>
  <w:style w:type="character" w:styleId="44">
    <w:name w:val="HTML Acronym"/>
    <w:basedOn w:val="39"/>
    <w:qFormat/>
    <w:uiPriority w:val="99"/>
  </w:style>
  <w:style w:type="character" w:styleId="45">
    <w:name w:val="Hyperlink"/>
    <w:basedOn w:val="39"/>
    <w:qFormat/>
    <w:uiPriority w:val="99"/>
    <w:rPr>
      <w:color w:val="1F4F88"/>
      <w:u w:val="none"/>
    </w:rPr>
  </w:style>
  <w:style w:type="character" w:styleId="46">
    <w:name w:val="annotation reference"/>
    <w:basedOn w:val="39"/>
    <w:qFormat/>
    <w:uiPriority w:val="99"/>
    <w:rPr>
      <w:sz w:val="21"/>
    </w:rPr>
  </w:style>
  <w:style w:type="character" w:customStyle="1" w:styleId="47">
    <w:name w:val="标题 1 字符"/>
    <w:basedOn w:val="39"/>
    <w:link w:val="3"/>
    <w:qFormat/>
    <w:uiPriority w:val="9"/>
    <w:rPr>
      <w:rFonts w:ascii="Calibri" w:hAnsi="Calibri" w:eastAsia="宋体" w:cs="Times New Roman"/>
      <w:b/>
      <w:bCs/>
      <w:kern w:val="44"/>
      <w:sz w:val="36"/>
      <w:szCs w:val="44"/>
    </w:rPr>
  </w:style>
  <w:style w:type="character" w:customStyle="1" w:styleId="48">
    <w:name w:val="标题 2 字符"/>
    <w:basedOn w:val="39"/>
    <w:link w:val="4"/>
    <w:qFormat/>
    <w:uiPriority w:val="9"/>
    <w:rPr>
      <w:rFonts w:ascii="Arial" w:hAnsi="Arial" w:eastAsia="宋体" w:cs="Times New Roman"/>
      <w:b/>
      <w:bCs/>
      <w:sz w:val="24"/>
      <w:szCs w:val="32"/>
    </w:rPr>
  </w:style>
  <w:style w:type="character" w:customStyle="1" w:styleId="49">
    <w:name w:val="标题 3 字符"/>
    <w:basedOn w:val="39"/>
    <w:link w:val="5"/>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21"/>
    <w:qFormat/>
    <w:locked/>
    <w:uiPriority w:val="0"/>
  </w:style>
  <w:style w:type="character" w:customStyle="1" w:styleId="52">
    <w:name w:val="批注主题 字符"/>
    <w:link w:val="35"/>
    <w:qFormat/>
    <w:locked/>
    <w:uiPriority w:val="0"/>
    <w:rPr>
      <w:b/>
    </w:rPr>
  </w:style>
  <w:style w:type="character" w:customStyle="1" w:styleId="53">
    <w:name w:val="正文文本缩进 3 字符"/>
    <w:link w:val="29"/>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9"/>
    <w:qFormat/>
    <w:uiPriority w:val="0"/>
    <w:rPr>
      <w:rFonts w:cs="Times New Roman"/>
    </w:rPr>
  </w:style>
  <w:style w:type="character" w:customStyle="1" w:styleId="59">
    <w:name w:val="页眉 字符"/>
    <w:link w:val="24"/>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3"/>
    <w:qFormat/>
    <w:locked/>
    <w:uiPriority w:val="0"/>
  </w:style>
  <w:style w:type="character" w:customStyle="1" w:styleId="62">
    <w:name w:val="标题 字符"/>
    <w:link w:val="34"/>
    <w:qFormat/>
    <w:locked/>
    <w:uiPriority w:val="0"/>
    <w:rPr>
      <w:rFonts w:ascii="Arial" w:hAnsi="Arial"/>
      <w:b/>
      <w:sz w:val="32"/>
    </w:rPr>
  </w:style>
  <w:style w:type="character" w:customStyle="1" w:styleId="63">
    <w:name w:val="日期 字符"/>
    <w:link w:val="20"/>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2"/>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11"/>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2"/>
    <w:qFormat/>
    <w:locked/>
    <w:uiPriority w:val="0"/>
    <w:rPr>
      <w:rFonts w:ascii="宋体" w:hAnsi="Courier New"/>
    </w:rPr>
  </w:style>
  <w:style w:type="character" w:customStyle="1" w:styleId="73">
    <w:name w:val="页脚 字符"/>
    <w:link w:val="23"/>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9"/>
    <w:semiHidden/>
    <w:qFormat/>
    <w:uiPriority w:val="99"/>
  </w:style>
  <w:style w:type="character" w:customStyle="1" w:styleId="78">
    <w:name w:val="批注文字 字符11"/>
    <w:basedOn w:val="39"/>
    <w:qFormat/>
    <w:uiPriority w:val="0"/>
    <w:rPr>
      <w:rFonts w:cs="Times New Roman"/>
      <w:kern w:val="2"/>
      <w:sz w:val="21"/>
    </w:rPr>
  </w:style>
  <w:style w:type="character" w:customStyle="1" w:styleId="79">
    <w:name w:val="正文文本缩进 字符"/>
    <w:basedOn w:val="39"/>
    <w:link w:val="15"/>
    <w:qFormat/>
    <w:uiPriority w:val="99"/>
    <w:rPr>
      <w:rFonts w:ascii="Calibri" w:hAnsi="Calibri" w:eastAsia="宋体" w:cs="Times New Roman"/>
      <w:szCs w:val="20"/>
    </w:rPr>
  </w:style>
  <w:style w:type="character" w:customStyle="1" w:styleId="80">
    <w:name w:val="文档结构图 字符1"/>
    <w:basedOn w:val="39"/>
    <w:semiHidden/>
    <w:qFormat/>
    <w:uiPriority w:val="99"/>
    <w:rPr>
      <w:rFonts w:ascii="Microsoft YaHei UI" w:eastAsia="Microsoft YaHei UI"/>
      <w:sz w:val="18"/>
      <w:szCs w:val="18"/>
    </w:rPr>
  </w:style>
  <w:style w:type="character" w:customStyle="1" w:styleId="81">
    <w:name w:val="文档结构图 字符11"/>
    <w:basedOn w:val="39"/>
    <w:semiHidden/>
    <w:qFormat/>
    <w:uiPriority w:val="99"/>
    <w:rPr>
      <w:rFonts w:ascii="Microsoft YaHei UI" w:eastAsia="Microsoft YaHei UI" w:cs="Times New Roman"/>
      <w:kern w:val="2"/>
      <w:sz w:val="18"/>
      <w:szCs w:val="18"/>
    </w:rPr>
  </w:style>
  <w:style w:type="character" w:customStyle="1" w:styleId="82">
    <w:name w:val="正文文本 字符"/>
    <w:basedOn w:val="39"/>
    <w:link w:val="14"/>
    <w:qFormat/>
    <w:uiPriority w:val="99"/>
    <w:rPr>
      <w:rFonts w:ascii="Calibri" w:hAnsi="Calibri" w:eastAsia="新宋体" w:cs="Times New Roman"/>
      <w:szCs w:val="21"/>
    </w:rPr>
  </w:style>
  <w:style w:type="character" w:customStyle="1" w:styleId="83">
    <w:name w:val="纯文本 字符1"/>
    <w:basedOn w:val="39"/>
    <w:semiHidden/>
    <w:qFormat/>
    <w:uiPriority w:val="99"/>
    <w:rPr>
      <w:rFonts w:hAnsi="Courier New" w:cs="Courier New" w:asciiTheme="minorEastAsia"/>
    </w:rPr>
  </w:style>
  <w:style w:type="character" w:customStyle="1" w:styleId="84">
    <w:name w:val="纯文本 字符11"/>
    <w:basedOn w:val="39"/>
    <w:qFormat/>
    <w:uiPriority w:val="0"/>
    <w:rPr>
      <w:rFonts w:hAnsi="Courier New" w:cs="Courier New" w:asciiTheme="minorEastAsia" w:eastAsiaTheme="minorEastAsia"/>
      <w:kern w:val="2"/>
      <w:sz w:val="21"/>
    </w:rPr>
  </w:style>
  <w:style w:type="character" w:customStyle="1" w:styleId="85">
    <w:name w:val="页眉 字符1"/>
    <w:basedOn w:val="39"/>
    <w:semiHidden/>
    <w:qFormat/>
    <w:uiPriority w:val="99"/>
    <w:rPr>
      <w:sz w:val="18"/>
      <w:szCs w:val="18"/>
    </w:rPr>
  </w:style>
  <w:style w:type="character" w:customStyle="1" w:styleId="86">
    <w:name w:val="页眉 字符11"/>
    <w:basedOn w:val="39"/>
    <w:semiHidden/>
    <w:qFormat/>
    <w:uiPriority w:val="99"/>
    <w:rPr>
      <w:rFonts w:cs="Times New Roman"/>
      <w:kern w:val="2"/>
      <w:sz w:val="18"/>
      <w:szCs w:val="18"/>
    </w:rPr>
  </w:style>
  <w:style w:type="character" w:customStyle="1" w:styleId="87">
    <w:name w:val="批注框文本 字符1"/>
    <w:basedOn w:val="39"/>
    <w:semiHidden/>
    <w:qFormat/>
    <w:uiPriority w:val="99"/>
    <w:rPr>
      <w:sz w:val="18"/>
      <w:szCs w:val="18"/>
    </w:rPr>
  </w:style>
  <w:style w:type="character" w:customStyle="1" w:styleId="88">
    <w:name w:val="批注框文本 字符11"/>
    <w:basedOn w:val="39"/>
    <w:semiHidden/>
    <w:qFormat/>
    <w:uiPriority w:val="99"/>
    <w:rPr>
      <w:rFonts w:cs="Times New Roman"/>
      <w:kern w:val="2"/>
      <w:sz w:val="18"/>
      <w:szCs w:val="18"/>
    </w:rPr>
  </w:style>
  <w:style w:type="character" w:customStyle="1" w:styleId="89">
    <w:name w:val="日期 字符1"/>
    <w:basedOn w:val="39"/>
    <w:semiHidden/>
    <w:qFormat/>
    <w:uiPriority w:val="99"/>
  </w:style>
  <w:style w:type="character" w:customStyle="1" w:styleId="90">
    <w:name w:val="日期 字符11"/>
    <w:basedOn w:val="39"/>
    <w:semiHidden/>
    <w:qFormat/>
    <w:uiPriority w:val="99"/>
    <w:rPr>
      <w:rFonts w:cs="Times New Roman"/>
      <w:kern w:val="2"/>
      <w:sz w:val="21"/>
    </w:rPr>
  </w:style>
  <w:style w:type="character" w:customStyle="1" w:styleId="91">
    <w:name w:val="页脚 字符1"/>
    <w:basedOn w:val="39"/>
    <w:semiHidden/>
    <w:qFormat/>
    <w:uiPriority w:val="99"/>
    <w:rPr>
      <w:sz w:val="18"/>
      <w:szCs w:val="18"/>
    </w:rPr>
  </w:style>
  <w:style w:type="character" w:customStyle="1" w:styleId="92">
    <w:name w:val="页脚 字符11"/>
    <w:basedOn w:val="39"/>
    <w:semiHidden/>
    <w:qFormat/>
    <w:uiPriority w:val="99"/>
    <w:rPr>
      <w:rFonts w:cs="Times New Roman"/>
      <w:kern w:val="2"/>
      <w:sz w:val="18"/>
      <w:szCs w:val="18"/>
    </w:rPr>
  </w:style>
  <w:style w:type="character" w:customStyle="1" w:styleId="93">
    <w:name w:val="正文文本缩进 2 字符1"/>
    <w:basedOn w:val="39"/>
    <w:semiHidden/>
    <w:qFormat/>
    <w:uiPriority w:val="99"/>
  </w:style>
  <w:style w:type="character" w:customStyle="1" w:styleId="94">
    <w:name w:val="正文文本缩进 2 字符11"/>
    <w:basedOn w:val="39"/>
    <w:semiHidden/>
    <w:qFormat/>
    <w:uiPriority w:val="99"/>
    <w:rPr>
      <w:rFonts w:cs="Times New Roman"/>
      <w:kern w:val="2"/>
      <w:sz w:val="21"/>
    </w:rPr>
  </w:style>
  <w:style w:type="character" w:customStyle="1" w:styleId="95">
    <w:name w:val="正文文本缩进 3 字符1"/>
    <w:basedOn w:val="39"/>
    <w:semiHidden/>
    <w:qFormat/>
    <w:uiPriority w:val="99"/>
    <w:rPr>
      <w:sz w:val="16"/>
      <w:szCs w:val="16"/>
    </w:rPr>
  </w:style>
  <w:style w:type="character" w:customStyle="1" w:styleId="96">
    <w:name w:val="正文文本缩进 3 字符11"/>
    <w:basedOn w:val="39"/>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9"/>
    <w:qFormat/>
    <w:uiPriority w:val="10"/>
    <w:rPr>
      <w:rFonts w:asciiTheme="majorHAnsi" w:hAnsiTheme="majorHAnsi" w:eastAsiaTheme="majorEastAsia" w:cstheme="majorBidi"/>
      <w:b/>
      <w:bCs/>
      <w:sz w:val="32"/>
      <w:szCs w:val="32"/>
    </w:rPr>
  </w:style>
  <w:style w:type="character" w:customStyle="1" w:styleId="100">
    <w:name w:val="标题 字符11"/>
    <w:basedOn w:val="39"/>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2"/>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4"/>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5"/>
    <w:next w:val="113"/>
    <w:link w:val="120"/>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3"/>
    <w:qFormat/>
    <w:uiPriority w:val="0"/>
    <w:pPr>
      <w:spacing w:before="0" w:after="0" w:line="240" w:lineRule="auto"/>
      <w:jc w:val="center"/>
    </w:pPr>
    <w:rPr>
      <w:rFonts w:eastAsia="黑体"/>
      <w:b w:val="0"/>
      <w:color w:val="000000"/>
      <w:sz w:val="30"/>
      <w:szCs w:val="24"/>
    </w:rPr>
  </w:style>
  <w:style w:type="character" w:customStyle="1" w:styleId="133">
    <w:name w:val="HR正文 Char1"/>
    <w:link w:val="134"/>
    <w:qFormat/>
    <w:uiPriority w:val="0"/>
    <w:rPr>
      <w:sz w:val="24"/>
      <w:szCs w:val="24"/>
    </w:rPr>
  </w:style>
  <w:style w:type="paragraph" w:customStyle="1" w:styleId="134">
    <w:name w:val="HR正文"/>
    <w:basedOn w:val="1"/>
    <w:link w:val="133"/>
    <w:qFormat/>
    <w:uiPriority w:val="0"/>
    <w:pPr>
      <w:spacing w:line="300" w:lineRule="auto"/>
      <w:ind w:firstLine="200" w:firstLineChars="200"/>
    </w:pPr>
    <w:rPr>
      <w:sz w:val="24"/>
      <w:szCs w:val="24"/>
    </w:rPr>
  </w:style>
  <w:style w:type="paragraph" w:customStyle="1" w:styleId="135">
    <w:name w:val="List"/>
    <w:basedOn w:val="1"/>
    <w:next w:val="1"/>
    <w:qFormat/>
    <w:uiPriority w:val="34"/>
    <w:pPr>
      <w:ind w:left="1200"/>
      <w:jc w:val="left"/>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footer" Target="foot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header" Target="header5.xml"/><Relationship Id="rId33" Type="http://schemas.openxmlformats.org/officeDocument/2006/relationships/header" Target="header4.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101</Pages>
  <Words>49074</Words>
  <Characters>54693</Characters>
  <Lines>305</Lines>
  <Paragraphs>86</Paragraphs>
  <TotalTime>42</TotalTime>
  <ScaleCrop>false</ScaleCrop>
  <LinksUpToDate>false</LinksUpToDate>
  <CharactersWithSpaces>61618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阿布</cp:lastModifiedBy>
  <cp:lastPrinted>2022-07-01T03:19:00Z</cp:lastPrinted>
  <dcterms:modified xsi:type="dcterms:W3CDTF">2023-06-23T08:16:12Z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49580677B97D4BD5B91BF867962D92D0_13</vt:lpwstr>
  </property>
</Properties>
</file>