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360"/>
        <w:jc w:val="left"/>
        <w:rPr>
          <w:rFonts w:cs="宋体"/>
          <w:sz w:val="24"/>
          <w:szCs w:val="24"/>
        </w:rPr>
      </w:pPr>
      <w:r>
        <w:rPr>
          <w:rFonts w:hint="eastAsia" w:eastAsia="楷体_GB2312"/>
          <w:sz w:val="24"/>
        </w:rPr>
        <w:drawing>
          <wp:anchor distT="0" distB="0" distL="114300" distR="114300" simplePos="0" relativeHeight="251662336" behindDoc="0" locked="0" layoutInCell="1" allowOverlap="1">
            <wp:simplePos x="0" y="0"/>
            <wp:positionH relativeFrom="column">
              <wp:posOffset>-264795</wp:posOffset>
            </wp:positionH>
            <wp:positionV relativeFrom="paragraph">
              <wp:posOffset>231140</wp:posOffset>
            </wp:positionV>
            <wp:extent cx="2548890" cy="889000"/>
            <wp:effectExtent l="0" t="0" r="3810" b="6350"/>
            <wp:wrapNone/>
            <wp:docPr id="2" name="图片 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pPr>
        <w:spacing w:line="360" w:lineRule="auto"/>
        <w:ind w:right="360"/>
        <w:jc w:val="left"/>
        <w:rPr>
          <w:rFonts w:cs="宋体"/>
          <w:sz w:val="24"/>
          <w:szCs w:val="24"/>
        </w:rPr>
      </w:pPr>
    </w:p>
    <w:p>
      <w:pPr>
        <w:spacing w:line="360" w:lineRule="auto"/>
        <w:ind w:right="360" w:firstLine="480" w:firstLineChars="200"/>
        <w:jc w:val="left"/>
        <w:rPr>
          <w:rFonts w:cs="宋体"/>
          <w:sz w:val="24"/>
          <w:szCs w:val="24"/>
        </w:rPr>
      </w:pPr>
    </w:p>
    <w:p>
      <w:pPr>
        <w:spacing w:line="360" w:lineRule="auto"/>
        <w:ind w:right="360" w:firstLine="480" w:firstLineChars="200"/>
        <w:jc w:val="left"/>
        <w:rPr>
          <w:rFonts w:cs="宋体"/>
          <w:sz w:val="24"/>
          <w:szCs w:val="24"/>
        </w:rPr>
      </w:pPr>
    </w:p>
    <w:p>
      <w:pPr>
        <w:spacing w:line="360" w:lineRule="auto"/>
        <w:rPr>
          <w:rFonts w:eastAsia="楷体_GB2312"/>
          <w:sz w:val="44"/>
          <w:szCs w:val="44"/>
        </w:rPr>
      </w:pPr>
    </w:p>
    <w:p>
      <w:pPr>
        <w:autoSpaceDE w:val="0"/>
        <w:autoSpaceDN w:val="0"/>
        <w:adjustRightInd w:val="0"/>
        <w:spacing w:line="600" w:lineRule="atLeast"/>
        <w:jc w:val="center"/>
        <w:rPr>
          <w:b/>
          <w:bCs/>
          <w:sz w:val="42"/>
          <w:szCs w:val="42"/>
        </w:rPr>
      </w:pPr>
      <w:r>
        <w:rPr>
          <w:rFonts w:hint="eastAsia"/>
          <w:b/>
          <w:bCs/>
          <w:sz w:val="42"/>
          <w:szCs w:val="42"/>
        </w:rPr>
        <w:t>中国重汽集团福建海西汽车有限公司</w:t>
      </w:r>
    </w:p>
    <w:p>
      <w:pPr>
        <w:autoSpaceDE w:val="0"/>
        <w:autoSpaceDN w:val="0"/>
        <w:adjustRightInd w:val="0"/>
        <w:spacing w:before="240" w:beforeLines="100" w:line="600" w:lineRule="atLeast"/>
        <w:jc w:val="center"/>
        <w:rPr>
          <w:b/>
          <w:bCs/>
          <w:sz w:val="42"/>
          <w:szCs w:val="42"/>
        </w:rPr>
      </w:pPr>
      <w:r>
        <w:rPr>
          <w:rFonts w:hint="eastAsia"/>
          <w:b/>
          <w:bCs/>
          <w:sz w:val="42"/>
          <w:szCs w:val="42"/>
        </w:rPr>
        <w:t>总装部定量加注机及定扭设备智能化改造项目</w:t>
      </w:r>
    </w:p>
    <w:p>
      <w:pPr>
        <w:autoSpaceDE w:val="0"/>
        <w:autoSpaceDN w:val="0"/>
        <w:adjustRightInd w:val="0"/>
        <w:spacing w:line="400" w:lineRule="atLeast"/>
        <w:jc w:val="center"/>
        <w:rPr>
          <w:rFonts w:cs="宋体"/>
          <w:b/>
          <w:bCs/>
          <w:spacing w:val="20"/>
          <w:kern w:val="0"/>
          <w:sz w:val="44"/>
          <w:szCs w:val="44"/>
        </w:rPr>
      </w:pPr>
    </w:p>
    <w:p>
      <w:pPr>
        <w:autoSpaceDE w:val="0"/>
        <w:autoSpaceDN w:val="0"/>
        <w:adjustRightInd w:val="0"/>
        <w:spacing w:line="300" w:lineRule="atLeast"/>
        <w:jc w:val="center"/>
        <w:rPr>
          <w:rFonts w:eastAsia="黑体" w:cs="黑体"/>
          <w:b/>
          <w:bCs/>
          <w:kern w:val="0"/>
          <w:sz w:val="92"/>
          <w:szCs w:val="92"/>
          <w:lang w:val="zh-CN"/>
        </w:rPr>
      </w:pPr>
      <w:r>
        <w:rPr>
          <w:rFonts w:hint="eastAsia" w:eastAsia="黑体" w:cs="黑体"/>
          <w:b/>
          <w:bCs/>
          <w:kern w:val="0"/>
          <w:sz w:val="92"/>
          <w:szCs w:val="92"/>
          <w:lang w:val="zh-CN"/>
        </w:rPr>
        <w:t>招</w:t>
      </w:r>
      <w:r>
        <w:rPr>
          <w:rFonts w:eastAsia="黑体" w:cs="黑体"/>
          <w:b/>
          <w:bCs/>
          <w:kern w:val="0"/>
          <w:sz w:val="92"/>
          <w:szCs w:val="92"/>
          <w:lang w:val="zh-CN"/>
        </w:rPr>
        <w:t xml:space="preserve"> </w:t>
      </w:r>
      <w:r>
        <w:rPr>
          <w:rFonts w:hint="eastAsia" w:eastAsia="黑体" w:cs="黑体"/>
          <w:b/>
          <w:bCs/>
          <w:kern w:val="0"/>
          <w:sz w:val="92"/>
          <w:szCs w:val="92"/>
          <w:lang w:val="zh-CN"/>
        </w:rPr>
        <w:t>标</w:t>
      </w:r>
      <w:r>
        <w:rPr>
          <w:rFonts w:eastAsia="黑体" w:cs="黑体"/>
          <w:b/>
          <w:bCs/>
          <w:kern w:val="0"/>
          <w:sz w:val="92"/>
          <w:szCs w:val="92"/>
          <w:lang w:val="zh-CN"/>
        </w:rPr>
        <w:t xml:space="preserve"> </w:t>
      </w:r>
      <w:r>
        <w:rPr>
          <w:rFonts w:hint="eastAsia" w:eastAsia="黑体" w:cs="黑体"/>
          <w:b/>
          <w:bCs/>
          <w:kern w:val="0"/>
          <w:sz w:val="92"/>
          <w:szCs w:val="92"/>
          <w:lang w:val="zh-CN"/>
        </w:rPr>
        <w:t>文</w:t>
      </w:r>
      <w:r>
        <w:rPr>
          <w:rFonts w:eastAsia="黑体" w:cs="黑体"/>
          <w:b/>
          <w:bCs/>
          <w:kern w:val="0"/>
          <w:sz w:val="92"/>
          <w:szCs w:val="92"/>
          <w:lang w:val="zh-CN"/>
        </w:rPr>
        <w:t xml:space="preserve"> </w:t>
      </w:r>
      <w:r>
        <w:rPr>
          <w:rFonts w:hint="eastAsia" w:eastAsia="黑体" w:cs="黑体"/>
          <w:b/>
          <w:bCs/>
          <w:kern w:val="0"/>
          <w:sz w:val="92"/>
          <w:szCs w:val="92"/>
          <w:lang w:val="zh-CN"/>
        </w:rPr>
        <w:t>件</w:t>
      </w:r>
    </w:p>
    <w:p>
      <w:pPr>
        <w:autoSpaceDE w:val="0"/>
        <w:autoSpaceDN w:val="0"/>
        <w:adjustRightInd w:val="0"/>
        <w:spacing w:line="200" w:lineRule="atLeast"/>
        <w:jc w:val="center"/>
        <w:rPr>
          <w:rFonts w:cs="宋体"/>
          <w:b/>
          <w:bCs/>
          <w:kern w:val="0"/>
          <w:sz w:val="28"/>
          <w:szCs w:val="28"/>
          <w:lang w:val="zh-CN"/>
        </w:rPr>
      </w:pPr>
    </w:p>
    <w:p>
      <w:pPr>
        <w:widowControl/>
        <w:spacing w:line="360" w:lineRule="auto"/>
        <w:jc w:val="center"/>
        <w:rPr>
          <w:rFonts w:cs="宋体"/>
          <w:b/>
          <w:bCs/>
          <w:kern w:val="0"/>
          <w:sz w:val="32"/>
          <w:szCs w:val="32"/>
          <w:u w:val="single"/>
        </w:rPr>
      </w:pPr>
      <w:r>
        <w:rPr>
          <w:rFonts w:hint="eastAsia" w:cs="宋体"/>
          <w:b/>
          <w:bCs/>
          <w:kern w:val="0"/>
          <w:sz w:val="32"/>
          <w:szCs w:val="32"/>
        </w:rPr>
        <w:t>采购形式编号</w:t>
      </w:r>
      <w:r>
        <w:rPr>
          <w:rFonts w:hint="eastAsia" w:cs="宋体"/>
          <w:b/>
          <w:bCs/>
          <w:kern w:val="0"/>
          <w:sz w:val="32"/>
          <w:szCs w:val="32"/>
          <w:lang w:val="zh-CN"/>
        </w:rPr>
        <w:t>：</w:t>
      </w:r>
      <w:r>
        <w:rPr>
          <w:rFonts w:hint="eastAsia" w:cs="宋体"/>
          <w:b/>
          <w:bCs/>
          <w:kern w:val="0"/>
          <w:sz w:val="32"/>
          <w:szCs w:val="32"/>
        </w:rPr>
        <w:t>CGZXCX-202310-1365</w:t>
      </w:r>
    </w:p>
    <w:p>
      <w:pPr>
        <w:widowControl/>
        <w:spacing w:line="360" w:lineRule="auto"/>
        <w:jc w:val="center"/>
        <w:rPr>
          <w:rFonts w:cs="宋体"/>
          <w:b/>
          <w:bCs/>
          <w:kern w:val="0"/>
          <w:sz w:val="32"/>
          <w:szCs w:val="32"/>
        </w:rPr>
      </w:pPr>
      <w:r>
        <w:rPr>
          <w:rFonts w:hint="eastAsia" w:cs="宋体"/>
          <w:b/>
          <w:bCs/>
          <w:sz w:val="24"/>
        </w:rPr>
        <w:drawing>
          <wp:anchor distT="0" distB="0" distL="114300" distR="114300" simplePos="0" relativeHeight="251663360" behindDoc="0" locked="0" layoutInCell="1" allowOverlap="1">
            <wp:simplePos x="0" y="0"/>
            <wp:positionH relativeFrom="column">
              <wp:posOffset>1483360</wp:posOffset>
            </wp:positionH>
            <wp:positionV relativeFrom="paragraph">
              <wp:posOffset>260985</wp:posOffset>
            </wp:positionV>
            <wp:extent cx="2857500" cy="1795145"/>
            <wp:effectExtent l="38100" t="57150" r="38100" b="527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rot="21480000">
                      <a:off x="0" y="0"/>
                      <a:ext cx="2857500" cy="1795145"/>
                    </a:xfrm>
                    <a:prstGeom prst="rect">
                      <a:avLst/>
                    </a:prstGeom>
                    <a:noFill/>
                    <a:ln>
                      <a:noFill/>
                    </a:ln>
                  </pic:spPr>
                </pic:pic>
              </a:graphicData>
            </a:graphic>
          </wp:anchor>
        </w:drawing>
      </w:r>
    </w:p>
    <w:p>
      <w:pPr>
        <w:widowControl/>
        <w:spacing w:line="360" w:lineRule="auto"/>
        <w:jc w:val="center"/>
        <w:rPr>
          <w:rFonts w:cs="宋体"/>
          <w:b/>
          <w:bCs/>
          <w:sz w:val="24"/>
        </w:rPr>
      </w:pPr>
    </w:p>
    <w:p>
      <w:pPr>
        <w:widowControl/>
        <w:spacing w:line="360" w:lineRule="auto"/>
        <w:jc w:val="center"/>
        <w:rPr>
          <w:rFonts w:cs="宋体"/>
          <w:b/>
          <w:bCs/>
          <w:sz w:val="24"/>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pStyle w:val="31"/>
        <w:rPr>
          <w:rFonts w:ascii="Times New Roman" w:hAnsi="Times New Roman"/>
        </w:rPr>
      </w:pPr>
    </w:p>
    <w:p>
      <w:pPr>
        <w:widowControl/>
        <w:spacing w:line="360" w:lineRule="auto"/>
        <w:jc w:val="center"/>
        <w:rPr>
          <w:rFonts w:cs="宋体"/>
          <w:b/>
          <w:bCs/>
          <w:sz w:val="30"/>
          <w:szCs w:val="30"/>
        </w:rPr>
      </w:pPr>
    </w:p>
    <w:p>
      <w:pPr>
        <w:widowControl/>
        <w:spacing w:line="360" w:lineRule="auto"/>
        <w:jc w:val="center"/>
        <w:rPr>
          <w:rFonts w:cs="宋体"/>
          <w:b/>
          <w:bCs/>
          <w:sz w:val="30"/>
          <w:szCs w:val="30"/>
        </w:rPr>
      </w:pPr>
      <w:r>
        <w:rPr>
          <w:rFonts w:hint="eastAsia" w:cs="宋体"/>
          <w:b/>
          <w:bCs/>
          <w:sz w:val="30"/>
          <w:szCs w:val="30"/>
        </w:rPr>
        <w:t>中国重汽集团福建海西汽车有限公司</w:t>
      </w:r>
    </w:p>
    <w:p>
      <w:pPr>
        <w:widowControl/>
        <w:spacing w:line="360" w:lineRule="auto"/>
        <w:jc w:val="center"/>
        <w:rPr>
          <w:rFonts w:cs="宋体"/>
          <w:b/>
          <w:bCs/>
          <w:sz w:val="30"/>
          <w:szCs w:val="30"/>
        </w:rPr>
      </w:pPr>
      <w:r>
        <w:rPr>
          <w:rFonts w:hint="eastAsia" w:cs="宋体"/>
          <w:b/>
          <w:bCs/>
          <w:sz w:val="30"/>
          <w:szCs w:val="30"/>
        </w:rPr>
        <w:t>2023年</w:t>
      </w:r>
      <w:r>
        <w:rPr>
          <w:rFonts w:hint="eastAsia" w:cs="宋体"/>
          <w:b/>
          <w:bCs/>
          <w:color w:val="0000FF"/>
          <w:sz w:val="30"/>
          <w:szCs w:val="30"/>
        </w:rPr>
        <w:t xml:space="preserve"> 10</w:t>
      </w:r>
      <w:r>
        <w:rPr>
          <w:rFonts w:hint="eastAsia" w:cs="宋体"/>
          <w:b/>
          <w:bCs/>
          <w:sz w:val="30"/>
          <w:szCs w:val="30"/>
        </w:rPr>
        <w:t>月</w:t>
      </w:r>
    </w:p>
    <w:p>
      <w:pPr>
        <w:pStyle w:val="31"/>
        <w:rPr>
          <w:rFonts w:ascii="Times New Roman" w:hAnsi="Times New Roman"/>
        </w:rPr>
      </w:pPr>
    </w:p>
    <w:p>
      <w:pPr>
        <w:pStyle w:val="32"/>
        <w:ind w:left="1747" w:firstLine="412"/>
      </w:pPr>
    </w:p>
    <w:p>
      <w:pPr>
        <w:pStyle w:val="31"/>
        <w:rPr>
          <w:rFonts w:ascii="Times New Roman" w:hAnsi="Times New Roman"/>
        </w:rPr>
      </w:pPr>
    </w:p>
    <w:p>
      <w:pPr>
        <w:widowControl/>
        <w:spacing w:line="360" w:lineRule="auto"/>
        <w:jc w:val="center"/>
        <w:rPr>
          <w:b/>
        </w:rPr>
      </w:pPr>
      <w:r>
        <w:rPr>
          <w:rFonts w:hint="eastAsia" w:cs="宋体"/>
          <w:b/>
          <w:bCs/>
          <w:sz w:val="36"/>
          <w:szCs w:val="36"/>
        </w:rPr>
        <w:t>目</w:t>
      </w:r>
      <w:r>
        <w:rPr>
          <w:rFonts w:cs="宋体"/>
          <w:b/>
          <w:bCs/>
          <w:sz w:val="36"/>
          <w:szCs w:val="36"/>
        </w:rPr>
        <w:t xml:space="preserve">    </w:t>
      </w:r>
      <w:r>
        <w:rPr>
          <w:rFonts w:hint="eastAsia" w:cs="宋体"/>
          <w:b/>
          <w:bCs/>
          <w:sz w:val="36"/>
          <w:szCs w:val="36"/>
        </w:rPr>
        <w:t>录</w:t>
      </w:r>
    </w:p>
    <w:p>
      <w:pPr>
        <w:pStyle w:val="54"/>
        <w:tabs>
          <w:tab w:val="right" w:leader="dot" w:pos="9071"/>
        </w:tabs>
        <w:rPr>
          <w:caps w:val="0"/>
        </w:rPr>
      </w:pPr>
      <w:r>
        <w:rPr>
          <w:caps w:val="0"/>
        </w:rPr>
        <w:fldChar w:fldCharType="begin"/>
      </w:r>
      <w:r>
        <w:rPr>
          <w:caps w:val="0"/>
        </w:rPr>
        <w:instrText xml:space="preserve">TOC \o "1-1" \h \u </w:instrText>
      </w:r>
      <w:r>
        <w:rPr>
          <w:caps w:val="0"/>
        </w:rPr>
        <w:fldChar w:fldCharType="separate"/>
      </w:r>
      <w:r>
        <w:fldChar w:fldCharType="begin"/>
      </w:r>
      <w:r>
        <w:instrText xml:space="preserve"> HYPERLINK \l "_Toc18522" </w:instrText>
      </w:r>
      <w:r>
        <w:fldChar w:fldCharType="separate"/>
      </w:r>
      <w:r>
        <w:rPr>
          <w:rFonts w:hint="eastAsia"/>
          <w:caps w:val="0"/>
        </w:rPr>
        <w:t>第一章</w:t>
      </w:r>
      <w:r>
        <w:rPr>
          <w:caps w:val="0"/>
        </w:rPr>
        <w:t xml:space="preserve">   </w:t>
      </w:r>
      <w:r>
        <w:rPr>
          <w:rFonts w:hint="eastAsia"/>
          <w:caps w:val="0"/>
        </w:rPr>
        <w:t>招标公告</w:t>
      </w:r>
      <w:r>
        <w:rPr>
          <w:caps w:val="0"/>
        </w:rPr>
        <w:tab/>
      </w:r>
      <w:r>
        <w:rPr>
          <w:caps w:val="0"/>
        </w:rPr>
        <w:fldChar w:fldCharType="begin"/>
      </w:r>
      <w:r>
        <w:rPr>
          <w:caps w:val="0"/>
        </w:rPr>
        <w:instrText xml:space="preserve"> PAGEREF _Toc18522 \h </w:instrText>
      </w:r>
      <w:r>
        <w:rPr>
          <w:caps w:val="0"/>
        </w:rPr>
        <w:fldChar w:fldCharType="separate"/>
      </w:r>
      <w:r>
        <w:rPr>
          <w:caps w:val="0"/>
        </w:rPr>
        <w:t>1</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"_Toc22001" </w:instrText>
      </w:r>
      <w:r>
        <w:fldChar w:fldCharType="separate"/>
      </w:r>
      <w:r>
        <w:rPr>
          <w:rFonts w:hint="eastAsia"/>
          <w:iCs/>
          <w:caps w:val="0"/>
        </w:rPr>
        <w:t>第二章   投标人须知</w:t>
      </w:r>
      <w:r>
        <w:rPr>
          <w:caps w:val="0"/>
        </w:rPr>
        <w:tab/>
      </w:r>
      <w:r>
        <w:rPr>
          <w:caps w:val="0"/>
        </w:rPr>
        <w:fldChar w:fldCharType="begin"/>
      </w:r>
      <w:r>
        <w:rPr>
          <w:caps w:val="0"/>
        </w:rPr>
        <w:instrText xml:space="preserve"> PAGEREF _Toc22001 \h </w:instrText>
      </w:r>
      <w:r>
        <w:rPr>
          <w:caps w:val="0"/>
        </w:rPr>
        <w:fldChar w:fldCharType="separate"/>
      </w:r>
      <w:r>
        <w:rPr>
          <w:caps w:val="0"/>
        </w:rPr>
        <w:t>9</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"_Toc16326" </w:instrText>
      </w:r>
      <w:r>
        <w:fldChar w:fldCharType="separate"/>
      </w:r>
      <w:r>
        <w:rPr>
          <w:rFonts w:hint="eastAsia"/>
          <w:caps w:val="0"/>
        </w:rPr>
        <w:t>第三章   技术要求</w:t>
      </w:r>
      <w:r>
        <w:rPr>
          <w:caps w:val="0"/>
        </w:rPr>
        <w:tab/>
      </w:r>
      <w:r>
        <w:rPr>
          <w:caps w:val="0"/>
        </w:rPr>
        <w:fldChar w:fldCharType="begin"/>
      </w:r>
      <w:r>
        <w:rPr>
          <w:caps w:val="0"/>
        </w:rPr>
        <w:instrText xml:space="preserve"> PAGEREF _Toc16326 \h </w:instrText>
      </w:r>
      <w:r>
        <w:rPr>
          <w:caps w:val="0"/>
        </w:rPr>
        <w:fldChar w:fldCharType="separate"/>
      </w:r>
      <w:r>
        <w:rPr>
          <w:caps w:val="0"/>
        </w:rPr>
        <w:t>43</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"_Toc12171" </w:instrText>
      </w:r>
      <w:r>
        <w:fldChar w:fldCharType="separate"/>
      </w:r>
      <w:r>
        <w:rPr>
          <w:rFonts w:hint="eastAsia"/>
          <w:caps w:val="0"/>
        </w:rPr>
        <w:t xml:space="preserve">第四章   </w:t>
      </w:r>
      <w:r>
        <w:rPr>
          <w:rFonts w:hint="eastAsia" w:eastAsia="黑体"/>
          <w:b w:val="0"/>
          <w:bCs w:val="0"/>
          <w:caps w:val="0"/>
          <w:szCs w:val="36"/>
        </w:rPr>
        <w:t>合同文件格式</w:t>
      </w:r>
      <w:r>
        <w:rPr>
          <w:caps w:val="0"/>
        </w:rPr>
        <w:tab/>
      </w:r>
      <w:r>
        <w:rPr>
          <w:caps w:val="0"/>
        </w:rPr>
        <w:fldChar w:fldCharType="begin"/>
      </w:r>
      <w:r>
        <w:rPr>
          <w:caps w:val="0"/>
        </w:rPr>
        <w:instrText xml:space="preserve"> PAGEREF _Toc12171 \h </w:instrText>
      </w:r>
      <w:r>
        <w:rPr>
          <w:caps w:val="0"/>
        </w:rPr>
        <w:fldChar w:fldCharType="separate"/>
      </w:r>
      <w:r>
        <w:rPr>
          <w:caps w:val="0"/>
        </w:rPr>
        <w:t>43</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"_Toc20403" </w:instrText>
      </w:r>
      <w:r>
        <w:fldChar w:fldCharType="separate"/>
      </w:r>
      <w:r>
        <w:rPr>
          <w:rFonts w:hint="eastAsia"/>
          <w:caps w:val="0"/>
        </w:rPr>
        <w:t>1 合同设备</w:t>
      </w:r>
      <w:r>
        <w:rPr>
          <w:caps w:val="0"/>
        </w:rPr>
        <w:tab/>
      </w:r>
      <w:r>
        <w:rPr>
          <w:caps w:val="0"/>
        </w:rPr>
        <w:fldChar w:fldCharType="begin"/>
      </w:r>
      <w:r>
        <w:rPr>
          <w:caps w:val="0"/>
        </w:rPr>
        <w:instrText xml:space="preserve"> PAGEREF _Toc20403 \h </w:instrText>
      </w:r>
      <w:r>
        <w:rPr>
          <w:caps w:val="0"/>
        </w:rPr>
        <w:fldChar w:fldCharType="separate"/>
      </w:r>
      <w:r>
        <w:rPr>
          <w:caps w:val="0"/>
        </w:rPr>
        <w:t>43</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"_Toc19007" </w:instrText>
      </w:r>
      <w:r>
        <w:fldChar w:fldCharType="separate"/>
      </w:r>
      <w:r>
        <w:rPr>
          <w:rFonts w:hint="eastAsia"/>
          <w:caps w:val="0"/>
        </w:rPr>
        <w:t>2 包装</w:t>
      </w:r>
      <w:r>
        <w:rPr>
          <w:caps w:val="0"/>
        </w:rPr>
        <w:tab/>
      </w:r>
      <w:r>
        <w:rPr>
          <w:caps w:val="0"/>
        </w:rPr>
        <w:fldChar w:fldCharType="begin"/>
      </w:r>
      <w:r>
        <w:rPr>
          <w:caps w:val="0"/>
        </w:rPr>
        <w:instrText xml:space="preserve"> PAGEREF _Toc19007 \h </w:instrText>
      </w:r>
      <w:r>
        <w:rPr>
          <w:caps w:val="0"/>
        </w:rPr>
        <w:fldChar w:fldCharType="separate"/>
      </w:r>
      <w:r>
        <w:rPr>
          <w:caps w:val="0"/>
        </w:rPr>
        <w:t>43</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"_Toc22307" </w:instrText>
      </w:r>
      <w:r>
        <w:fldChar w:fldCharType="separate"/>
      </w:r>
      <w:r>
        <w:rPr>
          <w:rFonts w:hint="eastAsia"/>
          <w:caps w:val="0"/>
        </w:rPr>
        <w:t>3 运输标记</w:t>
      </w:r>
      <w:r>
        <w:rPr>
          <w:caps w:val="0"/>
        </w:rPr>
        <w:tab/>
      </w:r>
      <w:r>
        <w:rPr>
          <w:caps w:val="0"/>
        </w:rPr>
        <w:fldChar w:fldCharType="begin"/>
      </w:r>
      <w:r>
        <w:rPr>
          <w:caps w:val="0"/>
        </w:rPr>
        <w:instrText xml:space="preserve"> PAGEREF _Toc22307 \h </w:instrText>
      </w:r>
      <w:r>
        <w:rPr>
          <w:caps w:val="0"/>
        </w:rPr>
        <w:fldChar w:fldCharType="separate"/>
      </w:r>
      <w:r>
        <w:rPr>
          <w:caps w:val="0"/>
        </w:rPr>
        <w:t>44</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"_Toc6542" </w:instrText>
      </w:r>
      <w:r>
        <w:fldChar w:fldCharType="separate"/>
      </w:r>
      <w:r>
        <w:rPr>
          <w:rFonts w:hint="eastAsia"/>
          <w:caps w:val="0"/>
        </w:rPr>
        <w:t>4 检验</w:t>
      </w:r>
      <w:r>
        <w:rPr>
          <w:caps w:val="0"/>
        </w:rPr>
        <w:tab/>
      </w:r>
      <w:r>
        <w:rPr>
          <w:caps w:val="0"/>
        </w:rPr>
        <w:fldChar w:fldCharType="begin"/>
      </w:r>
      <w:r>
        <w:rPr>
          <w:caps w:val="0"/>
        </w:rPr>
        <w:instrText xml:space="preserve"> PAGEREF _Toc6542 \h </w:instrText>
      </w:r>
      <w:r>
        <w:rPr>
          <w:caps w:val="0"/>
        </w:rPr>
        <w:fldChar w:fldCharType="separate"/>
      </w:r>
      <w:r>
        <w:rPr>
          <w:caps w:val="0"/>
        </w:rPr>
        <w:t>44</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"_Toc15094" </w:instrText>
      </w:r>
      <w:r>
        <w:fldChar w:fldCharType="separate"/>
      </w:r>
      <w:r>
        <w:rPr>
          <w:rFonts w:hint="eastAsia"/>
          <w:caps w:val="0"/>
        </w:rPr>
        <w:t>5 权利担保</w:t>
      </w:r>
      <w:r>
        <w:rPr>
          <w:caps w:val="0"/>
        </w:rPr>
        <w:tab/>
      </w:r>
      <w:r>
        <w:rPr>
          <w:caps w:val="0"/>
        </w:rPr>
        <w:fldChar w:fldCharType="begin"/>
      </w:r>
      <w:r>
        <w:rPr>
          <w:caps w:val="0"/>
        </w:rPr>
        <w:instrText xml:space="preserve"> PAGEREF _Toc15094 \h </w:instrText>
      </w:r>
      <w:r>
        <w:rPr>
          <w:caps w:val="0"/>
        </w:rPr>
        <w:fldChar w:fldCharType="separate"/>
      </w:r>
      <w:r>
        <w:rPr>
          <w:caps w:val="0"/>
        </w:rPr>
        <w:t>44</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"_Toc28921" </w:instrText>
      </w:r>
      <w:r>
        <w:fldChar w:fldCharType="separate"/>
      </w:r>
      <w:r>
        <w:rPr>
          <w:rFonts w:hint="eastAsia"/>
          <w:caps w:val="0"/>
        </w:rPr>
        <w:t>6 交货</w:t>
      </w:r>
      <w:r>
        <w:rPr>
          <w:caps w:val="0"/>
        </w:rPr>
        <w:tab/>
      </w:r>
      <w:r>
        <w:rPr>
          <w:caps w:val="0"/>
        </w:rPr>
        <w:fldChar w:fldCharType="begin"/>
      </w:r>
      <w:r>
        <w:rPr>
          <w:caps w:val="0"/>
        </w:rPr>
        <w:instrText xml:space="preserve"> PAGEREF _Toc28921 \h </w:instrText>
      </w:r>
      <w:r>
        <w:rPr>
          <w:caps w:val="0"/>
        </w:rPr>
        <w:fldChar w:fldCharType="separate"/>
      </w:r>
      <w:r>
        <w:rPr>
          <w:caps w:val="0"/>
        </w:rPr>
        <w:t>45</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"_Toc17329" </w:instrText>
      </w:r>
      <w:r>
        <w:fldChar w:fldCharType="separate"/>
      </w:r>
      <w:r>
        <w:rPr>
          <w:rFonts w:hint="eastAsia"/>
          <w:caps w:val="0"/>
        </w:rPr>
        <w:t>7 安装、调试</w:t>
      </w:r>
      <w:r>
        <w:rPr>
          <w:caps w:val="0"/>
        </w:rPr>
        <w:tab/>
      </w:r>
      <w:r>
        <w:rPr>
          <w:caps w:val="0"/>
        </w:rPr>
        <w:fldChar w:fldCharType="begin"/>
      </w:r>
      <w:r>
        <w:rPr>
          <w:caps w:val="0"/>
        </w:rPr>
        <w:instrText xml:space="preserve"> PAGEREF _Toc17329 \h </w:instrText>
      </w:r>
      <w:r>
        <w:rPr>
          <w:caps w:val="0"/>
        </w:rPr>
        <w:fldChar w:fldCharType="separate"/>
      </w:r>
      <w:r>
        <w:rPr>
          <w:caps w:val="0"/>
        </w:rPr>
        <w:t>46</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"_Toc25331" </w:instrText>
      </w:r>
      <w:r>
        <w:fldChar w:fldCharType="separate"/>
      </w:r>
      <w:r>
        <w:rPr>
          <w:rFonts w:hint="eastAsia"/>
          <w:caps w:val="0"/>
        </w:rPr>
        <w:t>8 价款与支付</w:t>
      </w:r>
      <w:r>
        <w:rPr>
          <w:caps w:val="0"/>
        </w:rPr>
        <w:tab/>
      </w:r>
      <w:r>
        <w:rPr>
          <w:caps w:val="0"/>
        </w:rPr>
        <w:fldChar w:fldCharType="begin"/>
      </w:r>
      <w:r>
        <w:rPr>
          <w:caps w:val="0"/>
        </w:rPr>
        <w:instrText xml:space="preserve"> PAGEREF _Toc25331 \h </w:instrText>
      </w:r>
      <w:r>
        <w:rPr>
          <w:caps w:val="0"/>
        </w:rPr>
        <w:fldChar w:fldCharType="separate"/>
      </w:r>
      <w:r>
        <w:rPr>
          <w:caps w:val="0"/>
        </w:rPr>
        <w:t>46</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"_Toc17984" </w:instrText>
      </w:r>
      <w:r>
        <w:fldChar w:fldCharType="separate"/>
      </w:r>
      <w:r>
        <w:rPr>
          <w:rFonts w:hint="eastAsia"/>
          <w:caps w:val="0"/>
        </w:rPr>
        <w:t>9 质量保证及售后服务</w:t>
      </w:r>
      <w:r>
        <w:rPr>
          <w:caps w:val="0"/>
        </w:rPr>
        <w:tab/>
      </w:r>
      <w:r>
        <w:rPr>
          <w:caps w:val="0"/>
        </w:rPr>
        <w:fldChar w:fldCharType="begin"/>
      </w:r>
      <w:r>
        <w:rPr>
          <w:caps w:val="0"/>
        </w:rPr>
        <w:instrText xml:space="preserve"> PAGEREF _Toc17984 \h </w:instrText>
      </w:r>
      <w:r>
        <w:rPr>
          <w:caps w:val="0"/>
        </w:rPr>
        <w:fldChar w:fldCharType="separate"/>
      </w:r>
      <w:r>
        <w:rPr>
          <w:caps w:val="0"/>
        </w:rPr>
        <w:t>47</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"_Toc6176" </w:instrText>
      </w:r>
      <w:r>
        <w:fldChar w:fldCharType="separate"/>
      </w:r>
      <w:r>
        <w:rPr>
          <w:rFonts w:hint="eastAsia"/>
          <w:caps w:val="0"/>
        </w:rPr>
        <w:t>10法定责任</w:t>
      </w:r>
      <w:r>
        <w:rPr>
          <w:caps w:val="0"/>
        </w:rPr>
        <w:tab/>
      </w:r>
      <w:r>
        <w:rPr>
          <w:caps w:val="0"/>
        </w:rPr>
        <w:fldChar w:fldCharType="begin"/>
      </w:r>
      <w:r>
        <w:rPr>
          <w:caps w:val="0"/>
        </w:rPr>
        <w:instrText xml:space="preserve"> PAGEREF _Toc6176 \h </w:instrText>
      </w:r>
      <w:r>
        <w:rPr>
          <w:caps w:val="0"/>
        </w:rPr>
        <w:fldChar w:fldCharType="separate"/>
      </w:r>
      <w:r>
        <w:rPr>
          <w:caps w:val="0"/>
        </w:rPr>
        <w:t>47</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"_Toc32281" </w:instrText>
      </w:r>
      <w:r>
        <w:fldChar w:fldCharType="separate"/>
      </w:r>
      <w:r>
        <w:rPr>
          <w:rFonts w:hint="eastAsia"/>
          <w:caps w:val="0"/>
        </w:rPr>
        <w:t>11 违约责任</w:t>
      </w:r>
      <w:r>
        <w:rPr>
          <w:caps w:val="0"/>
        </w:rPr>
        <w:tab/>
      </w:r>
      <w:r>
        <w:rPr>
          <w:caps w:val="0"/>
        </w:rPr>
        <w:fldChar w:fldCharType="begin"/>
      </w:r>
      <w:r>
        <w:rPr>
          <w:caps w:val="0"/>
        </w:rPr>
        <w:instrText xml:space="preserve"> PAGEREF _Toc32281 \h </w:instrText>
      </w:r>
      <w:r>
        <w:rPr>
          <w:caps w:val="0"/>
        </w:rPr>
        <w:fldChar w:fldCharType="separate"/>
      </w:r>
      <w:r>
        <w:rPr>
          <w:caps w:val="0"/>
        </w:rPr>
        <w:t>48</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"_Toc17233" </w:instrText>
      </w:r>
      <w:r>
        <w:fldChar w:fldCharType="separate"/>
      </w:r>
      <w:r>
        <w:rPr>
          <w:rFonts w:hint="eastAsia"/>
          <w:caps w:val="0"/>
        </w:rPr>
        <w:t>12 合同的终止与解除</w:t>
      </w:r>
      <w:r>
        <w:rPr>
          <w:caps w:val="0"/>
        </w:rPr>
        <w:tab/>
      </w:r>
      <w:r>
        <w:rPr>
          <w:caps w:val="0"/>
        </w:rPr>
        <w:fldChar w:fldCharType="begin"/>
      </w:r>
      <w:r>
        <w:rPr>
          <w:caps w:val="0"/>
        </w:rPr>
        <w:instrText xml:space="preserve"> PAGEREF _Toc17233 \h </w:instrText>
      </w:r>
      <w:r>
        <w:rPr>
          <w:caps w:val="0"/>
        </w:rPr>
        <w:fldChar w:fldCharType="separate"/>
      </w:r>
      <w:r>
        <w:rPr>
          <w:caps w:val="0"/>
        </w:rPr>
        <w:t>49</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"_Toc12401" </w:instrText>
      </w:r>
      <w:r>
        <w:fldChar w:fldCharType="separate"/>
      </w:r>
      <w:r>
        <w:rPr>
          <w:rFonts w:hint="eastAsia"/>
          <w:caps w:val="0"/>
        </w:rPr>
        <w:t>13 不可抗力</w:t>
      </w:r>
      <w:r>
        <w:rPr>
          <w:caps w:val="0"/>
        </w:rPr>
        <w:tab/>
      </w:r>
      <w:r>
        <w:rPr>
          <w:caps w:val="0"/>
        </w:rPr>
        <w:fldChar w:fldCharType="begin"/>
      </w:r>
      <w:r>
        <w:rPr>
          <w:caps w:val="0"/>
        </w:rPr>
        <w:instrText xml:space="preserve"> PAGEREF _Toc12401 \h </w:instrText>
      </w:r>
      <w:r>
        <w:rPr>
          <w:caps w:val="0"/>
        </w:rPr>
        <w:fldChar w:fldCharType="separate"/>
      </w:r>
      <w:r>
        <w:rPr>
          <w:caps w:val="0"/>
        </w:rPr>
        <w:t>49</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"_Toc3115" </w:instrText>
      </w:r>
      <w:r>
        <w:fldChar w:fldCharType="separate"/>
      </w:r>
      <w:r>
        <w:rPr>
          <w:rFonts w:hint="eastAsia"/>
          <w:caps w:val="0"/>
        </w:rPr>
        <w:t>14 通讯</w:t>
      </w:r>
      <w:r>
        <w:rPr>
          <w:caps w:val="0"/>
        </w:rPr>
        <w:tab/>
      </w:r>
      <w:r>
        <w:rPr>
          <w:caps w:val="0"/>
        </w:rPr>
        <w:fldChar w:fldCharType="begin"/>
      </w:r>
      <w:r>
        <w:rPr>
          <w:caps w:val="0"/>
        </w:rPr>
        <w:instrText xml:space="preserve"> PAGEREF _Toc3115 \h </w:instrText>
      </w:r>
      <w:r>
        <w:rPr>
          <w:caps w:val="0"/>
        </w:rPr>
        <w:fldChar w:fldCharType="separate"/>
      </w:r>
      <w:r>
        <w:rPr>
          <w:caps w:val="0"/>
        </w:rPr>
        <w:t>50</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"_Toc17249" </w:instrText>
      </w:r>
      <w:r>
        <w:fldChar w:fldCharType="separate"/>
      </w:r>
      <w:r>
        <w:rPr>
          <w:rFonts w:hint="eastAsia"/>
          <w:caps w:val="0"/>
        </w:rPr>
        <w:t>15 适用法律及争议解决</w:t>
      </w:r>
      <w:r>
        <w:rPr>
          <w:caps w:val="0"/>
        </w:rPr>
        <w:tab/>
      </w:r>
      <w:r>
        <w:rPr>
          <w:caps w:val="0"/>
        </w:rPr>
        <w:fldChar w:fldCharType="begin"/>
      </w:r>
      <w:r>
        <w:rPr>
          <w:caps w:val="0"/>
        </w:rPr>
        <w:instrText xml:space="preserve"> PAGEREF _Toc17249 \h </w:instrText>
      </w:r>
      <w:r>
        <w:rPr>
          <w:caps w:val="0"/>
        </w:rPr>
        <w:fldChar w:fldCharType="separate"/>
      </w:r>
      <w:r>
        <w:rPr>
          <w:caps w:val="0"/>
        </w:rPr>
        <w:t>50</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"_Toc25472" </w:instrText>
      </w:r>
      <w:r>
        <w:fldChar w:fldCharType="separate"/>
      </w:r>
      <w:r>
        <w:rPr>
          <w:rFonts w:hint="eastAsia"/>
          <w:caps w:val="0"/>
        </w:rPr>
        <w:t>16 附件</w:t>
      </w:r>
      <w:r>
        <w:rPr>
          <w:caps w:val="0"/>
        </w:rPr>
        <w:tab/>
      </w:r>
      <w:r>
        <w:rPr>
          <w:caps w:val="0"/>
        </w:rPr>
        <w:fldChar w:fldCharType="begin"/>
      </w:r>
      <w:r>
        <w:rPr>
          <w:caps w:val="0"/>
        </w:rPr>
        <w:instrText xml:space="preserve"> PAGEREF _Toc25472 \h </w:instrText>
      </w:r>
      <w:r>
        <w:rPr>
          <w:caps w:val="0"/>
        </w:rPr>
        <w:fldChar w:fldCharType="separate"/>
      </w:r>
      <w:r>
        <w:rPr>
          <w:caps w:val="0"/>
        </w:rPr>
        <w:t>50</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"_Toc780" </w:instrText>
      </w:r>
      <w:r>
        <w:fldChar w:fldCharType="separate"/>
      </w:r>
      <w:r>
        <w:rPr>
          <w:rFonts w:hint="eastAsia"/>
          <w:caps w:val="0"/>
        </w:rPr>
        <w:t>17 其他规定</w:t>
      </w:r>
      <w:r>
        <w:rPr>
          <w:caps w:val="0"/>
        </w:rPr>
        <w:tab/>
      </w:r>
      <w:r>
        <w:rPr>
          <w:caps w:val="0"/>
        </w:rPr>
        <w:fldChar w:fldCharType="begin"/>
      </w:r>
      <w:r>
        <w:rPr>
          <w:caps w:val="0"/>
        </w:rPr>
        <w:instrText xml:space="preserve"> PAGEREF _Toc780 \h </w:instrText>
      </w:r>
      <w:r>
        <w:rPr>
          <w:caps w:val="0"/>
        </w:rPr>
        <w:fldChar w:fldCharType="separate"/>
      </w:r>
      <w:r>
        <w:rPr>
          <w:caps w:val="0"/>
        </w:rPr>
        <w:t>51</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"_Toc28959" </w:instrText>
      </w:r>
      <w:r>
        <w:fldChar w:fldCharType="separate"/>
      </w:r>
      <w:r>
        <w:rPr>
          <w:rFonts w:hint="eastAsia"/>
          <w:caps w:val="0"/>
        </w:rPr>
        <w:t>18 签署事项</w:t>
      </w:r>
      <w:r>
        <w:rPr>
          <w:caps w:val="0"/>
        </w:rPr>
        <w:tab/>
      </w:r>
      <w:r>
        <w:rPr>
          <w:caps w:val="0"/>
        </w:rPr>
        <w:fldChar w:fldCharType="begin"/>
      </w:r>
      <w:r>
        <w:rPr>
          <w:caps w:val="0"/>
        </w:rPr>
        <w:instrText xml:space="preserve"> PAGEREF _Toc28959 \h </w:instrText>
      </w:r>
      <w:r>
        <w:rPr>
          <w:caps w:val="0"/>
        </w:rPr>
        <w:fldChar w:fldCharType="separate"/>
      </w:r>
      <w:r>
        <w:rPr>
          <w:caps w:val="0"/>
        </w:rPr>
        <w:t>51</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"_Toc7026" </w:instrText>
      </w:r>
      <w:r>
        <w:fldChar w:fldCharType="separate"/>
      </w:r>
      <w:r>
        <w:rPr>
          <w:rFonts w:hint="eastAsia"/>
          <w:caps w:val="0"/>
        </w:rPr>
        <w:t>附件一：设备清单及主要设备分项配置明细表</w:t>
      </w:r>
      <w:r>
        <w:rPr>
          <w:caps w:val="0"/>
        </w:rPr>
        <w:tab/>
      </w:r>
      <w:r>
        <w:rPr>
          <w:caps w:val="0"/>
        </w:rPr>
        <w:fldChar w:fldCharType="begin"/>
      </w:r>
      <w:r>
        <w:rPr>
          <w:caps w:val="0"/>
        </w:rPr>
        <w:instrText xml:space="preserve"> PAGEREF _Toc7026 \h </w:instrText>
      </w:r>
      <w:r>
        <w:rPr>
          <w:caps w:val="0"/>
        </w:rPr>
        <w:fldChar w:fldCharType="separate"/>
      </w:r>
      <w:r>
        <w:rPr>
          <w:caps w:val="0"/>
        </w:rPr>
        <w:t>52</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"_Toc28360" </w:instrText>
      </w:r>
      <w:r>
        <w:fldChar w:fldCharType="separate"/>
      </w:r>
      <w:r>
        <w:rPr>
          <w:rFonts w:hint="eastAsia"/>
          <w:caps w:val="0"/>
        </w:rPr>
        <w:t>附件二 技术要求</w:t>
      </w:r>
      <w:r>
        <w:rPr>
          <w:caps w:val="0"/>
        </w:rPr>
        <w:tab/>
      </w:r>
      <w:r>
        <w:rPr>
          <w:caps w:val="0"/>
        </w:rPr>
        <w:fldChar w:fldCharType="begin"/>
      </w:r>
      <w:r>
        <w:rPr>
          <w:caps w:val="0"/>
        </w:rPr>
        <w:instrText xml:space="preserve"> PAGEREF _Toc28360 \h </w:instrText>
      </w:r>
      <w:r>
        <w:rPr>
          <w:caps w:val="0"/>
        </w:rPr>
        <w:fldChar w:fldCharType="separate"/>
      </w:r>
      <w:r>
        <w:rPr>
          <w:caps w:val="0"/>
        </w:rPr>
        <w:t>52</w:t>
      </w:r>
      <w:r>
        <w:rPr>
          <w:caps w:val="0"/>
        </w:rPr>
        <w:fldChar w:fldCharType="end"/>
      </w:r>
      <w:r>
        <w:rPr>
          <w:caps w:val="0"/>
        </w:rPr>
        <w:fldChar w:fldCharType="end"/>
      </w:r>
    </w:p>
    <w:p>
      <w:pPr>
        <w:pStyle w:val="54"/>
        <w:tabs>
          <w:tab w:val="right" w:leader="dot" w:pos="9071"/>
        </w:tabs>
        <w:rPr>
          <w:caps w:val="0"/>
        </w:rPr>
      </w:pPr>
      <w:r>
        <w:fldChar w:fldCharType="begin"/>
      </w:r>
      <w:r>
        <w:instrText xml:space="preserve"> HYPERLINK \l "_Toc29666" </w:instrText>
      </w:r>
      <w:r>
        <w:fldChar w:fldCharType="separate"/>
      </w:r>
      <w:r>
        <w:rPr>
          <w:rFonts w:hint="eastAsia"/>
          <w:caps w:val="0"/>
        </w:rPr>
        <w:t>第五章</w:t>
      </w:r>
      <w:r>
        <w:rPr>
          <w:caps w:val="0"/>
        </w:rPr>
        <w:t xml:space="preserve"> </w:t>
      </w:r>
      <w:r>
        <w:rPr>
          <w:rFonts w:hint="eastAsia"/>
          <w:caps w:val="0"/>
        </w:rPr>
        <w:t xml:space="preserve"> </w:t>
      </w:r>
      <w:r>
        <w:rPr>
          <w:caps w:val="0"/>
        </w:rPr>
        <w:t xml:space="preserve"> </w:t>
      </w:r>
      <w:r>
        <w:rPr>
          <w:rFonts w:hint="eastAsia"/>
          <w:caps w:val="0"/>
        </w:rPr>
        <w:t>投标文件格式</w:t>
      </w:r>
      <w:r>
        <w:rPr>
          <w:caps w:val="0"/>
        </w:rPr>
        <w:tab/>
      </w:r>
      <w:r>
        <w:rPr>
          <w:caps w:val="0"/>
        </w:rPr>
        <w:fldChar w:fldCharType="begin"/>
      </w:r>
      <w:r>
        <w:rPr>
          <w:caps w:val="0"/>
        </w:rPr>
        <w:instrText xml:space="preserve"> PAGEREF _Toc29666 \h </w:instrText>
      </w:r>
      <w:r>
        <w:rPr>
          <w:caps w:val="0"/>
        </w:rPr>
        <w:fldChar w:fldCharType="separate"/>
      </w:r>
      <w:r>
        <w:rPr>
          <w:caps w:val="0"/>
        </w:rPr>
        <w:t>57</w:t>
      </w:r>
      <w:r>
        <w:rPr>
          <w:caps w:val="0"/>
        </w:rPr>
        <w:fldChar w:fldCharType="end"/>
      </w:r>
      <w:r>
        <w:rPr>
          <w:caps w:val="0"/>
        </w:rPr>
        <w:fldChar w:fldCharType="end"/>
      </w:r>
    </w:p>
    <w:p>
      <w:pPr>
        <w:sectPr>
          <w:headerReference r:id="rId4" w:type="first"/>
          <w:headerReference r:id="rId3" w:type="default"/>
          <w:footerReference r:id="rId5" w:type="default"/>
          <w:pgSz w:w="11907" w:h="16840"/>
          <w:pgMar w:top="1702" w:right="1418" w:bottom="1418" w:left="1418" w:header="851" w:footer="822" w:gutter="0"/>
          <w:cols w:space="720" w:num="1"/>
          <w:docGrid w:linePitch="290" w:charSpace="-3931"/>
        </w:sectPr>
      </w:pPr>
      <w:r>
        <w:fldChar w:fldCharType="end"/>
      </w:r>
    </w:p>
    <w:p>
      <w:pPr>
        <w:pStyle w:val="3"/>
        <w:numPr>
          <w:ilvl w:val="0"/>
          <w:numId w:val="0"/>
        </w:numPr>
      </w:pPr>
      <w:bookmarkStart w:id="0" w:name="_Toc27085"/>
      <w:bookmarkStart w:id="1" w:name="_Toc18522"/>
      <w:bookmarkStart w:id="2" w:name="_Toc17769"/>
      <w:bookmarkStart w:id="3" w:name="_Toc49503541"/>
      <w:bookmarkStart w:id="4" w:name="_Toc21021"/>
      <w:bookmarkStart w:id="5" w:name="_Toc51786882"/>
      <w:r>
        <w:rPr>
          <w:rFonts w:hint="eastAsia"/>
        </w:rPr>
        <w:t>第一章</w:t>
      </w:r>
      <w:r>
        <w:t xml:space="preserve">   </w:t>
      </w:r>
      <w:r>
        <w:rPr>
          <w:rFonts w:hint="eastAsia"/>
        </w:rPr>
        <w:t>招标公告</w:t>
      </w:r>
      <w:bookmarkEnd w:id="0"/>
      <w:bookmarkEnd w:id="1"/>
      <w:bookmarkEnd w:id="2"/>
      <w:bookmarkEnd w:id="3"/>
      <w:bookmarkEnd w:id="4"/>
      <w:bookmarkEnd w:id="5"/>
    </w:p>
    <w:p>
      <w:pPr>
        <w:spacing w:line="460" w:lineRule="exact"/>
        <w:ind w:firstLine="480" w:firstLineChars="200"/>
        <w:rPr>
          <w:rFonts w:cs="宋体"/>
          <w:sz w:val="24"/>
          <w:szCs w:val="24"/>
        </w:rPr>
      </w:pPr>
      <w:r>
        <w:rPr>
          <w:rFonts w:hint="eastAsia" w:cs="宋体"/>
          <w:sz w:val="24"/>
          <w:szCs w:val="24"/>
        </w:rPr>
        <w:t>中国重汽集团福建海西汽车有限公司</w:t>
      </w:r>
      <w:r>
        <w:rPr>
          <w:rFonts w:hint="eastAsia" w:cs="宋体"/>
          <w:sz w:val="24"/>
          <w:szCs w:val="24"/>
          <w:u w:val="single"/>
        </w:rPr>
        <w:t>定扭设备及加注设备改造项目</w:t>
      </w:r>
      <w:r>
        <w:rPr>
          <w:rFonts w:hint="eastAsia" w:cs="宋体"/>
          <w:sz w:val="24"/>
          <w:szCs w:val="24"/>
        </w:rPr>
        <w:t>已由相关部门批准建设，招标人为</w:t>
      </w:r>
      <w:r>
        <w:rPr>
          <w:rFonts w:hint="eastAsia" w:cs="宋体"/>
          <w:sz w:val="24"/>
          <w:szCs w:val="24"/>
          <w:u w:val="single"/>
        </w:rPr>
        <w:t>中国重汽集团福建海西汽车有限公司</w:t>
      </w:r>
      <w:r>
        <w:rPr>
          <w:rFonts w:hint="eastAsia" w:cs="宋体"/>
          <w:sz w:val="24"/>
          <w:szCs w:val="24"/>
        </w:rPr>
        <w:t>。建设资金来自</w:t>
      </w:r>
      <w:r>
        <w:rPr>
          <w:rFonts w:hint="eastAsia" w:cs="宋体"/>
          <w:sz w:val="24"/>
          <w:szCs w:val="24"/>
          <w:u w:val="single"/>
        </w:rPr>
        <w:t>企业自筹</w:t>
      </w:r>
      <w:r>
        <w:rPr>
          <w:rFonts w:hint="eastAsia" w:cs="宋体"/>
          <w:sz w:val="24"/>
          <w:szCs w:val="24"/>
        </w:rPr>
        <w:t xml:space="preserve"> ，出资比例为</w:t>
      </w:r>
      <w:r>
        <w:rPr>
          <w:rFonts w:hint="eastAsia" w:cs="宋体"/>
          <w:sz w:val="24"/>
          <w:szCs w:val="24"/>
          <w:u w:val="single"/>
        </w:rPr>
        <w:t xml:space="preserve"> 100%</w:t>
      </w:r>
      <w:r>
        <w:rPr>
          <w:rFonts w:hint="eastAsia" w:cs="宋体"/>
          <w:sz w:val="24"/>
          <w:szCs w:val="24"/>
        </w:rPr>
        <w:t xml:space="preserve"> ，上述项目已具备招标条件，</w:t>
      </w:r>
      <w:r>
        <w:rPr>
          <w:rFonts w:hint="eastAsia" w:cs="宋体"/>
          <w:bCs/>
          <w:sz w:val="24"/>
          <w:szCs w:val="24"/>
        </w:rPr>
        <w:t>现组织</w:t>
      </w:r>
      <w:r>
        <w:rPr>
          <w:rFonts w:hint="eastAsia" w:cs="宋体"/>
          <w:sz w:val="24"/>
          <w:szCs w:val="24"/>
        </w:rPr>
        <w:t>进行国内公开招标，欢迎合格潜在投标人</w:t>
      </w:r>
      <w:r>
        <w:rPr>
          <w:rFonts w:hint="eastAsia" w:cs="宋体"/>
          <w:kern w:val="0"/>
          <w:sz w:val="24"/>
          <w:szCs w:val="24"/>
        </w:rPr>
        <w:t>前来参加投标</w:t>
      </w:r>
      <w:r>
        <w:rPr>
          <w:rFonts w:hint="eastAsia" w:cs="宋体"/>
          <w:sz w:val="24"/>
          <w:szCs w:val="24"/>
        </w:rPr>
        <w:t>。</w:t>
      </w:r>
    </w:p>
    <w:p>
      <w:pPr>
        <w:spacing w:line="460" w:lineRule="exact"/>
        <w:outlineLvl w:val="1"/>
        <w:rPr>
          <w:rFonts w:cs="宋体"/>
          <w:b/>
          <w:sz w:val="24"/>
          <w:szCs w:val="24"/>
        </w:rPr>
      </w:pPr>
      <w:bookmarkStart w:id="6" w:name="_Toc11120"/>
      <w:bookmarkStart w:id="7" w:name="_Toc24541"/>
      <w:r>
        <w:rPr>
          <w:rFonts w:hint="eastAsia" w:cs="宋体"/>
          <w:b/>
          <w:sz w:val="24"/>
          <w:szCs w:val="24"/>
        </w:rPr>
        <w:t>1、项目名称及</w:t>
      </w:r>
      <w:bookmarkEnd w:id="6"/>
      <w:bookmarkEnd w:id="7"/>
      <w:r>
        <w:rPr>
          <w:rFonts w:hint="eastAsia" w:cs="宋体"/>
          <w:b/>
          <w:sz w:val="24"/>
          <w:szCs w:val="24"/>
        </w:rPr>
        <w:t>招标形式</w:t>
      </w:r>
    </w:p>
    <w:p>
      <w:pPr>
        <w:spacing w:line="460" w:lineRule="exact"/>
        <w:ind w:firstLine="480" w:firstLineChars="200"/>
        <w:rPr>
          <w:rFonts w:cs="宋体"/>
          <w:sz w:val="24"/>
          <w:szCs w:val="24"/>
          <w:u w:val="single"/>
        </w:rPr>
      </w:pPr>
      <w:r>
        <w:rPr>
          <w:rFonts w:hint="eastAsia" w:cs="宋体"/>
          <w:sz w:val="24"/>
          <w:szCs w:val="24"/>
        </w:rPr>
        <w:t>项目名称：</w:t>
      </w:r>
      <w:r>
        <w:rPr>
          <w:rFonts w:hint="eastAsia" w:cs="宋体"/>
          <w:sz w:val="24"/>
          <w:szCs w:val="24"/>
          <w:u w:val="single"/>
        </w:rPr>
        <w:t>总装部定量加注机及定扭设备智能化改造项目</w:t>
      </w:r>
    </w:p>
    <w:p>
      <w:pPr>
        <w:spacing w:line="460" w:lineRule="exact"/>
        <w:ind w:firstLine="480" w:firstLineChars="200"/>
        <w:rPr>
          <w:rFonts w:cs="宋体"/>
          <w:sz w:val="24"/>
          <w:szCs w:val="24"/>
        </w:rPr>
      </w:pPr>
      <w:r>
        <w:rPr>
          <w:rFonts w:hint="eastAsia" w:cs="宋体"/>
          <w:sz w:val="24"/>
          <w:szCs w:val="24"/>
        </w:rPr>
        <w:t>采购形式编号：CGZXCX-202310-1365</w:t>
      </w:r>
    </w:p>
    <w:p>
      <w:pPr>
        <w:spacing w:line="460" w:lineRule="exact"/>
        <w:ind w:firstLine="480" w:firstLineChars="200"/>
        <w:rPr>
          <w:rFonts w:cs="宋体"/>
          <w:sz w:val="24"/>
          <w:szCs w:val="24"/>
        </w:rPr>
      </w:pPr>
      <w:r>
        <w:rPr>
          <w:rFonts w:hint="eastAsia" w:cs="宋体"/>
          <w:sz w:val="24"/>
          <w:szCs w:val="24"/>
        </w:rPr>
        <w:t>招标形式：</w:t>
      </w:r>
      <w:r>
        <w:rPr>
          <w:rFonts w:hint="eastAsia" w:cs="宋体"/>
          <w:b/>
          <w:sz w:val="24"/>
          <w:szCs w:val="24"/>
          <w:u w:val="single"/>
        </w:rPr>
        <w:t>公开招标</w:t>
      </w:r>
    </w:p>
    <w:p>
      <w:pPr>
        <w:spacing w:line="460" w:lineRule="exact"/>
        <w:outlineLvl w:val="1"/>
        <w:rPr>
          <w:rFonts w:cs="宋体"/>
          <w:b/>
          <w:sz w:val="24"/>
          <w:szCs w:val="24"/>
        </w:rPr>
      </w:pPr>
      <w:bookmarkStart w:id="8" w:name="_Toc15568"/>
      <w:bookmarkStart w:id="9" w:name="_Toc32215"/>
      <w:r>
        <w:rPr>
          <w:rFonts w:hint="eastAsia" w:cs="宋体"/>
          <w:b/>
          <w:sz w:val="24"/>
          <w:szCs w:val="24"/>
        </w:rPr>
        <w:t>2、招标内容及质量要求</w:t>
      </w:r>
      <w:bookmarkEnd w:id="8"/>
      <w:bookmarkEnd w:id="9"/>
    </w:p>
    <w:tbl>
      <w:tblPr>
        <w:tblStyle w:val="77"/>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96"/>
        <w:gridCol w:w="737"/>
        <w:gridCol w:w="1842"/>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2596" w:type="dxa"/>
            <w:shd w:val="clear" w:color="auto" w:fill="auto"/>
            <w:tcMar>
              <w:top w:w="20" w:type="dxa"/>
              <w:left w:w="20" w:type="dxa"/>
              <w:bottom w:w="0" w:type="dxa"/>
              <w:right w:w="20" w:type="dxa"/>
            </w:tcMar>
            <w:vAlign w:val="center"/>
          </w:tcPr>
          <w:p>
            <w:pPr>
              <w:spacing w:line="460" w:lineRule="exact"/>
              <w:jc w:val="center"/>
              <w:rPr>
                <w:rFonts w:eastAsiaTheme="minorEastAsia"/>
                <w:b/>
                <w:color w:val="000000"/>
                <w:sz w:val="24"/>
                <w:szCs w:val="24"/>
              </w:rPr>
            </w:pPr>
            <w:r>
              <w:rPr>
                <w:rFonts w:hint="eastAsia" w:eastAsiaTheme="minorEastAsia"/>
                <w:b/>
                <w:color w:val="000000"/>
                <w:sz w:val="24"/>
                <w:szCs w:val="24"/>
              </w:rPr>
              <w:t>招标内容</w:t>
            </w:r>
          </w:p>
        </w:tc>
        <w:tc>
          <w:tcPr>
            <w:tcW w:w="737" w:type="dxa"/>
            <w:shd w:val="clear" w:color="auto" w:fill="auto"/>
            <w:vAlign w:val="center"/>
          </w:tcPr>
          <w:p>
            <w:pPr>
              <w:spacing w:line="460" w:lineRule="exact"/>
              <w:jc w:val="center"/>
              <w:rPr>
                <w:rFonts w:eastAsiaTheme="minorEastAsia"/>
                <w:b/>
                <w:color w:val="000000"/>
                <w:sz w:val="24"/>
                <w:szCs w:val="24"/>
              </w:rPr>
            </w:pPr>
            <w:r>
              <w:rPr>
                <w:rFonts w:hint="eastAsia" w:eastAsiaTheme="minorEastAsia"/>
                <w:b/>
                <w:color w:val="000000"/>
                <w:sz w:val="24"/>
                <w:szCs w:val="24"/>
              </w:rPr>
              <w:t>数量</w:t>
            </w:r>
          </w:p>
        </w:tc>
        <w:tc>
          <w:tcPr>
            <w:tcW w:w="1842" w:type="dxa"/>
            <w:shd w:val="clear" w:color="auto" w:fill="auto"/>
            <w:vAlign w:val="center"/>
          </w:tcPr>
          <w:p>
            <w:pPr>
              <w:spacing w:line="460" w:lineRule="exact"/>
              <w:jc w:val="center"/>
              <w:rPr>
                <w:rFonts w:eastAsiaTheme="minorEastAsia"/>
                <w:b/>
                <w:color w:val="000000"/>
                <w:sz w:val="24"/>
                <w:szCs w:val="24"/>
              </w:rPr>
            </w:pPr>
            <w:r>
              <w:rPr>
                <w:rFonts w:hint="eastAsia" w:eastAsiaTheme="minorEastAsia"/>
                <w:b/>
                <w:color w:val="000000"/>
                <w:sz w:val="24"/>
                <w:szCs w:val="24"/>
              </w:rPr>
              <w:t>供货方式</w:t>
            </w:r>
          </w:p>
        </w:tc>
        <w:tc>
          <w:tcPr>
            <w:tcW w:w="2565" w:type="dxa"/>
            <w:shd w:val="clear" w:color="auto" w:fill="auto"/>
            <w:vAlign w:val="center"/>
          </w:tcPr>
          <w:p>
            <w:pPr>
              <w:spacing w:line="460" w:lineRule="exact"/>
              <w:jc w:val="center"/>
              <w:rPr>
                <w:rFonts w:eastAsiaTheme="minorEastAsia"/>
                <w:b/>
                <w:color w:val="000000"/>
                <w:sz w:val="24"/>
                <w:szCs w:val="24"/>
              </w:rPr>
            </w:pPr>
            <w:r>
              <w:rPr>
                <w:rFonts w:hint="eastAsia" w:eastAsiaTheme="minorEastAsia"/>
                <w:b/>
                <w:color w:val="000000"/>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2596" w:type="dxa"/>
            <w:shd w:val="clear" w:color="auto" w:fill="auto"/>
            <w:tcMar>
              <w:top w:w="20" w:type="dxa"/>
              <w:left w:w="20" w:type="dxa"/>
              <w:bottom w:w="0" w:type="dxa"/>
              <w:right w:w="20" w:type="dxa"/>
            </w:tcMar>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定值拧紧设备改造</w:t>
            </w:r>
          </w:p>
        </w:tc>
        <w:tc>
          <w:tcPr>
            <w:tcW w:w="737"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10台</w:t>
            </w:r>
          </w:p>
        </w:tc>
        <w:tc>
          <w:tcPr>
            <w:tcW w:w="1842"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交钥匙方式</w:t>
            </w:r>
          </w:p>
        </w:tc>
        <w:tc>
          <w:tcPr>
            <w:tcW w:w="2565"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596" w:type="dxa"/>
            <w:shd w:val="clear" w:color="auto" w:fill="auto"/>
            <w:tcMar>
              <w:top w:w="20" w:type="dxa"/>
              <w:left w:w="20" w:type="dxa"/>
              <w:bottom w:w="0" w:type="dxa"/>
              <w:right w:w="20" w:type="dxa"/>
            </w:tcMar>
            <w:vAlign w:val="center"/>
          </w:tcPr>
          <w:p>
            <w:pPr>
              <w:pStyle w:val="70"/>
              <w:spacing w:line="460" w:lineRule="exact"/>
              <w:ind w:right="74"/>
              <w:jc w:val="center"/>
              <w:rPr>
                <w:rFonts w:ascii="Times New Roman" w:hAnsi="Times New Roman"/>
                <w:iCs/>
                <w:kern w:val="2"/>
              </w:rPr>
            </w:pPr>
            <w:bookmarkStart w:id="10" w:name="_Toc23678"/>
            <w:r>
              <w:rPr>
                <w:rFonts w:hint="eastAsia" w:ascii="Times New Roman" w:hAnsi="Times New Roman"/>
                <w:iCs/>
                <w:kern w:val="2"/>
              </w:rPr>
              <w:t>定量加注设备改造</w:t>
            </w:r>
          </w:p>
        </w:tc>
        <w:tc>
          <w:tcPr>
            <w:tcW w:w="737"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10台</w:t>
            </w:r>
          </w:p>
        </w:tc>
        <w:tc>
          <w:tcPr>
            <w:tcW w:w="1842"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交钥匙方式</w:t>
            </w:r>
          </w:p>
        </w:tc>
        <w:tc>
          <w:tcPr>
            <w:tcW w:w="2565"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596" w:type="dxa"/>
            <w:shd w:val="clear" w:color="auto" w:fill="auto"/>
            <w:tcMar>
              <w:top w:w="20" w:type="dxa"/>
              <w:left w:w="20" w:type="dxa"/>
              <w:bottom w:w="0" w:type="dxa"/>
              <w:right w:w="20" w:type="dxa"/>
            </w:tcMar>
            <w:vAlign w:val="center"/>
          </w:tcPr>
          <w:p>
            <w:pPr>
              <w:pStyle w:val="70"/>
              <w:spacing w:line="460" w:lineRule="exact"/>
              <w:ind w:right="74"/>
              <w:jc w:val="center"/>
              <w:rPr>
                <w:rFonts w:ascii="Times New Roman" w:hAnsi="Times New Roman"/>
                <w:iCs/>
                <w:kern w:val="2"/>
              </w:rPr>
            </w:pPr>
            <w:r>
              <w:rPr>
                <w:rFonts w:hint="eastAsia" w:ascii="Times New Roman" w:hAnsi="Times New Roman"/>
                <w:iCs/>
                <w:kern w:val="2"/>
              </w:rPr>
              <w:t>海西设备数据分析系统</w:t>
            </w:r>
          </w:p>
        </w:tc>
        <w:tc>
          <w:tcPr>
            <w:tcW w:w="737"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1套</w:t>
            </w:r>
          </w:p>
        </w:tc>
        <w:tc>
          <w:tcPr>
            <w:tcW w:w="1842"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交钥匙方式</w:t>
            </w:r>
          </w:p>
        </w:tc>
        <w:tc>
          <w:tcPr>
            <w:tcW w:w="2565" w:type="dxa"/>
            <w:shd w:val="clear" w:color="auto" w:fill="auto"/>
            <w:vAlign w:val="center"/>
          </w:tcPr>
          <w:p>
            <w:pPr>
              <w:pStyle w:val="70"/>
              <w:spacing w:line="460" w:lineRule="exact"/>
              <w:ind w:right="74"/>
              <w:jc w:val="center"/>
              <w:rPr>
                <w:rFonts w:ascii="Times New Roman" w:hAnsi="Times New Roman" w:eastAsiaTheme="minorEastAsia"/>
                <w:color w:val="000000"/>
              </w:rPr>
            </w:pPr>
            <w:r>
              <w:rPr>
                <w:rFonts w:hint="eastAsia" w:ascii="Times New Roman" w:hAnsi="Times New Roman" w:eastAsiaTheme="minorEastAsia"/>
                <w:color w:val="000000"/>
              </w:rPr>
              <w:t>详见招标文件第三章</w:t>
            </w:r>
          </w:p>
        </w:tc>
      </w:tr>
    </w:tbl>
    <w:p>
      <w:pPr>
        <w:pStyle w:val="3"/>
        <w:widowControl/>
        <w:numPr>
          <w:ilvl w:val="0"/>
          <w:numId w:val="0"/>
        </w:numPr>
        <w:spacing w:line="460" w:lineRule="exact"/>
        <w:ind w:firstLine="480" w:firstLineChars="200"/>
        <w:jc w:val="left"/>
        <w:rPr>
          <w:rFonts w:cs="宋体"/>
          <w:b w:val="0"/>
          <w:sz w:val="24"/>
          <w:szCs w:val="24"/>
        </w:rPr>
      </w:pPr>
      <w:r>
        <w:rPr>
          <w:rFonts w:hint="eastAsia" w:cs="宋体"/>
          <w:b w:val="0"/>
          <w:sz w:val="24"/>
          <w:szCs w:val="24"/>
        </w:rPr>
        <w:t>本次项目招标各单位投标总报价应包括但不限于设备采购费、原厂服务费及相关配件、随机备品备件、保险、税费、运杂、安装、设计、调试、验收、培训及售后服务等内容、与其他专业配合及可预见的风险以及其它不可预见等全部费用。</w:t>
      </w:r>
      <w:bookmarkEnd w:id="10"/>
    </w:p>
    <w:p>
      <w:pPr>
        <w:pStyle w:val="3"/>
        <w:widowControl/>
        <w:numPr>
          <w:ilvl w:val="0"/>
          <w:numId w:val="0"/>
        </w:numPr>
        <w:spacing w:line="460" w:lineRule="exact"/>
        <w:ind w:firstLine="482" w:firstLineChars="200"/>
        <w:jc w:val="left"/>
        <w:rPr>
          <w:rFonts w:cs="宋体"/>
          <w:b w:val="0"/>
          <w:sz w:val="24"/>
          <w:szCs w:val="24"/>
        </w:rPr>
      </w:pPr>
      <w:bookmarkStart w:id="11" w:name="_Toc4937"/>
      <w:r>
        <w:rPr>
          <w:rFonts w:hint="eastAsia" w:cs="宋体"/>
          <w:sz w:val="24"/>
          <w:szCs w:val="24"/>
        </w:rPr>
        <w:t>严格按照技术文件要求执行，达到招标人需求，本项目为交钥匙工程。所有投标均以人民币报价。</w:t>
      </w:r>
      <w:bookmarkEnd w:id="11"/>
    </w:p>
    <w:p>
      <w:pPr>
        <w:spacing w:line="460" w:lineRule="exact"/>
        <w:ind w:firstLine="480" w:firstLineChars="200"/>
        <w:jc w:val="left"/>
        <w:rPr>
          <w:rFonts w:cs="宋体"/>
          <w:sz w:val="24"/>
          <w:szCs w:val="24"/>
        </w:rPr>
      </w:pPr>
      <w:r>
        <w:rPr>
          <w:rFonts w:hint="eastAsia" w:cs="宋体"/>
          <w:sz w:val="24"/>
          <w:szCs w:val="24"/>
        </w:rPr>
        <w:t>2.2质量要求：</w:t>
      </w:r>
    </w:p>
    <w:p>
      <w:pPr>
        <w:spacing w:line="460" w:lineRule="exact"/>
        <w:ind w:firstLine="480" w:firstLineChars="200"/>
        <w:jc w:val="left"/>
        <w:rPr>
          <w:rFonts w:cs="宋体"/>
          <w:sz w:val="24"/>
          <w:szCs w:val="24"/>
        </w:rPr>
      </w:pPr>
      <w:r>
        <w:rPr>
          <w:rFonts w:hint="eastAsia" w:cs="宋体"/>
          <w:sz w:val="24"/>
          <w:szCs w:val="24"/>
        </w:rPr>
        <w:t>2.2.1符合国家及行业颁发的最新相关规范标准，达到招标人的设计要求并通过验收。依据设备明细清单和技术文件要求，本工程项目的材料、设备、施工、运输必须达到现行中华人民共和国及省、市、行业的一切有关法规、规范的要求，如各标准及规范要求有出入则以较严格者为准。</w:t>
      </w:r>
    </w:p>
    <w:p>
      <w:pPr>
        <w:spacing w:line="460" w:lineRule="exact"/>
        <w:ind w:firstLine="480" w:firstLineChars="200"/>
        <w:jc w:val="left"/>
        <w:rPr>
          <w:rFonts w:cs="宋体"/>
          <w:sz w:val="24"/>
          <w:szCs w:val="24"/>
        </w:rPr>
      </w:pPr>
      <w:r>
        <w:rPr>
          <w:rFonts w:hint="eastAsia" w:cs="宋体"/>
          <w:sz w:val="24"/>
          <w:szCs w:val="24"/>
        </w:rPr>
        <w:t>2.2.2投标设备技术参数和总体要求按招标文件技术要求执行。</w:t>
      </w:r>
    </w:p>
    <w:p>
      <w:pPr>
        <w:spacing w:line="460" w:lineRule="exact"/>
        <w:ind w:firstLine="480" w:firstLineChars="200"/>
        <w:jc w:val="left"/>
        <w:rPr>
          <w:rFonts w:cs="宋体"/>
          <w:sz w:val="24"/>
          <w:szCs w:val="24"/>
        </w:rPr>
      </w:pPr>
      <w:r>
        <w:rPr>
          <w:rFonts w:hint="eastAsia" w:cs="宋体"/>
          <w:sz w:val="24"/>
          <w:szCs w:val="24"/>
        </w:rPr>
        <w:t>2.2.3设备制造完毕经出厂检验合格后方能发货。</w:t>
      </w:r>
    </w:p>
    <w:p>
      <w:pPr>
        <w:spacing w:line="460" w:lineRule="exact"/>
        <w:ind w:firstLine="480" w:firstLineChars="200"/>
        <w:jc w:val="left"/>
        <w:rPr>
          <w:rFonts w:cs="宋体"/>
          <w:sz w:val="24"/>
          <w:szCs w:val="24"/>
        </w:rPr>
      </w:pPr>
      <w:r>
        <w:rPr>
          <w:rFonts w:hint="eastAsia" w:cs="宋体"/>
          <w:sz w:val="24"/>
          <w:szCs w:val="24"/>
        </w:rPr>
        <w:t>2.2.4设备交货要求直接发货至合同指定地点，否则招标人有权拒绝接受货物。</w:t>
      </w:r>
    </w:p>
    <w:p>
      <w:pPr>
        <w:spacing w:line="460" w:lineRule="exact"/>
        <w:ind w:firstLine="480" w:firstLineChars="200"/>
        <w:jc w:val="left"/>
        <w:rPr>
          <w:rFonts w:cs="宋体"/>
          <w:sz w:val="24"/>
          <w:szCs w:val="24"/>
        </w:rPr>
      </w:pPr>
      <w:r>
        <w:rPr>
          <w:rFonts w:hint="eastAsia" w:cs="宋体"/>
          <w:sz w:val="24"/>
          <w:szCs w:val="24"/>
        </w:rPr>
        <w:t>2.2.5所使用的软件系统均为正版，已获知识产权所有权人或合法使用权人的正式授权，且对该系统软件拥有合法的知识产权或具有合法的来源，在有关知识产权中不存在任何侵犯第三方的权益。</w:t>
      </w:r>
    </w:p>
    <w:p>
      <w:pPr>
        <w:numPr>
          <w:ilvl w:val="0"/>
          <w:numId w:val="7"/>
        </w:numPr>
        <w:spacing w:line="460" w:lineRule="exact"/>
        <w:ind w:firstLine="241" w:firstLineChars="100"/>
        <w:jc w:val="left"/>
        <w:rPr>
          <w:rFonts w:cs="宋体"/>
          <w:b/>
          <w:sz w:val="24"/>
          <w:szCs w:val="24"/>
        </w:rPr>
      </w:pPr>
      <w:r>
        <w:rPr>
          <w:rFonts w:hint="eastAsia" w:cs="宋体"/>
          <w:b/>
          <w:sz w:val="24"/>
          <w:szCs w:val="24"/>
        </w:rPr>
        <w:t>投标人资格要求</w:t>
      </w:r>
    </w:p>
    <w:p>
      <w:pPr>
        <w:spacing w:line="460" w:lineRule="exact"/>
        <w:ind w:firstLine="480" w:firstLineChars="200"/>
        <w:rPr>
          <w:rFonts w:cs="宋体"/>
          <w:sz w:val="24"/>
          <w:szCs w:val="24"/>
        </w:rPr>
      </w:pPr>
      <w:r>
        <w:rPr>
          <w:rFonts w:hint="eastAsia" w:cs="宋体"/>
          <w:sz w:val="24"/>
          <w:szCs w:val="24"/>
        </w:rPr>
        <w:t>3.1 拟</w:t>
      </w:r>
      <w:r>
        <w:rPr>
          <w:rFonts w:hint="eastAsia" w:cs="宋体"/>
          <w:sz w:val="24"/>
          <w:szCs w:val="24"/>
          <w:lang w:val="en-US" w:eastAsia="zh-CN"/>
        </w:rPr>
        <w:t>投标</w:t>
      </w:r>
      <w:r>
        <w:rPr>
          <w:rFonts w:hint="eastAsia" w:cs="宋体"/>
          <w:sz w:val="24"/>
          <w:szCs w:val="24"/>
        </w:rPr>
        <w:t>人必须是在中华人民共和国境内注册的独立法人或授权分支机构，具有独立承担民事责任能力；独立法人注册资金不少于1000万人民币（或等值其他货币），授权分支机构需提供上级授权机构营业执照；公司成立三年以上（以营业执照成立日期到开标当日满三年为准），且经营范围满足招标人需求；并在人员、设备、资金等方面具有承担本项目的能力；</w:t>
      </w:r>
    </w:p>
    <w:p>
      <w:pPr>
        <w:spacing w:line="460" w:lineRule="exact"/>
        <w:ind w:firstLine="480" w:firstLineChars="200"/>
        <w:rPr>
          <w:rFonts w:cs="宋体"/>
          <w:sz w:val="24"/>
          <w:szCs w:val="24"/>
        </w:rPr>
      </w:pPr>
      <w:r>
        <w:rPr>
          <w:rFonts w:hint="eastAsia" w:cs="宋体"/>
          <w:sz w:val="24"/>
          <w:szCs w:val="24"/>
        </w:rPr>
        <w:t>3.2拟投标人应提供营业执照副本原件和扫描件（需盖章）；</w:t>
      </w:r>
    </w:p>
    <w:p>
      <w:pPr>
        <w:spacing w:line="460" w:lineRule="exact"/>
        <w:ind w:firstLine="480" w:firstLineChars="200"/>
        <w:rPr>
          <w:rFonts w:cs="宋体"/>
          <w:sz w:val="24"/>
          <w:szCs w:val="24"/>
        </w:rPr>
      </w:pPr>
      <w:r>
        <w:rPr>
          <w:rFonts w:hint="eastAsia" w:cs="宋体"/>
          <w:sz w:val="24"/>
          <w:szCs w:val="24"/>
        </w:rPr>
        <w:t>3.3拟投标人应提供法定代表人资格或授权分支机构负责人证明文件；</w:t>
      </w:r>
    </w:p>
    <w:p>
      <w:pPr>
        <w:spacing w:line="460" w:lineRule="exact"/>
        <w:ind w:firstLine="480" w:firstLineChars="200"/>
        <w:rPr>
          <w:rFonts w:cs="宋体"/>
          <w:sz w:val="24"/>
          <w:szCs w:val="24"/>
        </w:rPr>
      </w:pPr>
      <w:r>
        <w:rPr>
          <w:rFonts w:hint="eastAsia" w:cs="宋体"/>
          <w:sz w:val="24"/>
          <w:szCs w:val="24"/>
        </w:rPr>
        <w:t>3.4拟投标人在国家市场监督管理总局的《国家企业信用信息公示系统》中查询不存在不良记录；</w:t>
      </w:r>
    </w:p>
    <w:p>
      <w:pPr>
        <w:spacing w:line="460" w:lineRule="exact"/>
        <w:ind w:firstLine="480" w:firstLineChars="200"/>
        <w:rPr>
          <w:rFonts w:cs="宋体"/>
          <w:sz w:val="24"/>
          <w:szCs w:val="24"/>
        </w:rPr>
      </w:pPr>
      <w:r>
        <w:rPr>
          <w:rFonts w:hint="eastAsia" w:cs="宋体"/>
          <w:sz w:val="24"/>
          <w:szCs w:val="24"/>
        </w:rPr>
        <w:t>3.5拟投标人不存在严重违规或被列入招标人“黑名单”的声明；</w:t>
      </w:r>
      <w:r>
        <w:rPr>
          <w:rFonts w:hint="eastAsia" w:cs="宋体"/>
          <w:sz w:val="24"/>
          <w:szCs w:val="24"/>
        </w:rPr>
        <w:tab/>
      </w:r>
    </w:p>
    <w:p>
      <w:pPr>
        <w:spacing w:line="460" w:lineRule="exact"/>
        <w:ind w:firstLine="480" w:firstLineChars="200"/>
        <w:rPr>
          <w:rFonts w:cs="宋体"/>
          <w:sz w:val="24"/>
          <w:szCs w:val="24"/>
        </w:rPr>
      </w:pPr>
      <w:r>
        <w:rPr>
          <w:rFonts w:hint="eastAsia" w:cs="宋体"/>
          <w:sz w:val="24"/>
          <w:szCs w:val="24"/>
        </w:rPr>
        <w:t>3.6拟投标人2020年1月1日至今经第三方审计的公司财务报表（资产负债表、损益表、现金流量表）未显示异常；</w:t>
      </w:r>
    </w:p>
    <w:p>
      <w:pPr>
        <w:spacing w:line="460" w:lineRule="exact"/>
        <w:ind w:firstLine="480" w:firstLineChars="200"/>
        <w:rPr>
          <w:rFonts w:cs="宋体"/>
          <w:sz w:val="24"/>
          <w:szCs w:val="24"/>
        </w:rPr>
      </w:pPr>
      <w:r>
        <w:rPr>
          <w:rFonts w:hint="eastAsia" w:cs="宋体"/>
          <w:sz w:val="24"/>
          <w:szCs w:val="24"/>
        </w:rPr>
        <w:t>3.7拟投标人2020年1月1日至今有相似的100万（合同额）以上的工业类型数字化实施项目案列或IT类系统集成案例1例（含）以上。须提供用户清单、采购合同复印件、验收报告；</w:t>
      </w:r>
    </w:p>
    <w:p>
      <w:pPr>
        <w:spacing w:line="460" w:lineRule="exact"/>
        <w:ind w:firstLine="480" w:firstLineChars="200"/>
        <w:rPr>
          <w:rFonts w:cs="宋体"/>
          <w:sz w:val="24"/>
          <w:szCs w:val="24"/>
        </w:rPr>
      </w:pPr>
      <w:r>
        <w:rPr>
          <w:rFonts w:hint="eastAsia" w:cs="宋体"/>
          <w:sz w:val="24"/>
          <w:szCs w:val="24"/>
        </w:rPr>
        <w:t>3.8拟投标人近三年内在经营活动中无与本项目有关的违法及重大违规情况；</w:t>
      </w:r>
    </w:p>
    <w:p>
      <w:pPr>
        <w:spacing w:line="460" w:lineRule="exact"/>
        <w:ind w:firstLine="480" w:firstLineChars="200"/>
        <w:rPr>
          <w:rFonts w:cs="宋体"/>
          <w:sz w:val="24"/>
          <w:szCs w:val="24"/>
        </w:rPr>
      </w:pPr>
      <w:r>
        <w:rPr>
          <w:rFonts w:hint="eastAsia" w:cs="宋体"/>
          <w:sz w:val="24"/>
          <w:szCs w:val="24"/>
        </w:rPr>
        <w:t>3.9拟投标人最近半年纳税正常；</w:t>
      </w:r>
    </w:p>
    <w:p>
      <w:pPr>
        <w:spacing w:line="460" w:lineRule="exact"/>
        <w:ind w:firstLine="480" w:firstLineChars="200"/>
        <w:rPr>
          <w:rFonts w:cs="宋体"/>
          <w:sz w:val="24"/>
          <w:szCs w:val="24"/>
        </w:rPr>
      </w:pPr>
      <w:r>
        <w:rPr>
          <w:rFonts w:hint="eastAsia" w:cs="宋体"/>
          <w:sz w:val="24"/>
          <w:szCs w:val="24"/>
        </w:rPr>
        <w:t>3.10拟投标人信用证明材料（征信报告）未显示异常；</w:t>
      </w:r>
    </w:p>
    <w:p>
      <w:pPr>
        <w:spacing w:line="460" w:lineRule="exact"/>
        <w:ind w:firstLine="480" w:firstLineChars="200"/>
        <w:rPr>
          <w:rFonts w:cs="宋体"/>
          <w:sz w:val="24"/>
          <w:szCs w:val="24"/>
        </w:rPr>
      </w:pPr>
      <w:r>
        <w:rPr>
          <w:rFonts w:hint="eastAsia" w:cs="宋体"/>
          <w:sz w:val="24"/>
          <w:szCs w:val="24"/>
        </w:rPr>
        <w:t>3.11拟投标人的直接或间接股东、法定代表人、董事、监事、高管非重汽员工及其亲属；</w:t>
      </w:r>
    </w:p>
    <w:p>
      <w:pPr>
        <w:spacing w:line="460" w:lineRule="exact"/>
        <w:ind w:firstLine="480" w:firstLineChars="200"/>
        <w:rPr>
          <w:rFonts w:cs="宋体"/>
          <w:sz w:val="24"/>
          <w:szCs w:val="24"/>
        </w:rPr>
      </w:pPr>
      <w:r>
        <w:rPr>
          <w:rFonts w:hint="eastAsia" w:cs="宋体"/>
          <w:sz w:val="24"/>
          <w:szCs w:val="24"/>
        </w:rPr>
        <w:t>3.12为确保网络安全，满足技术接入要求的5G专网路由器生产厂家正式授权书扫描件，提供原厂售后服务承诺书扫描件；原件备查</w:t>
      </w:r>
    </w:p>
    <w:p>
      <w:pPr>
        <w:spacing w:line="460" w:lineRule="exact"/>
        <w:ind w:firstLine="480" w:firstLineChars="200"/>
        <w:rPr>
          <w:rFonts w:cs="宋体"/>
          <w:sz w:val="24"/>
          <w:szCs w:val="24"/>
        </w:rPr>
      </w:pPr>
      <w:r>
        <w:rPr>
          <w:rFonts w:hint="eastAsia" w:cs="宋体"/>
          <w:sz w:val="24"/>
          <w:szCs w:val="24"/>
        </w:rPr>
        <w:t>3.13与招标人存在利害关系可能影响招标公正性的法人、其他组织或者个人，不得参加投标；</w:t>
      </w:r>
    </w:p>
    <w:p>
      <w:pPr>
        <w:spacing w:line="460" w:lineRule="exact"/>
        <w:ind w:firstLine="480" w:firstLineChars="200"/>
        <w:rPr>
          <w:rFonts w:cs="宋体"/>
          <w:color w:val="FF0000"/>
          <w:sz w:val="24"/>
          <w:szCs w:val="24"/>
        </w:rPr>
      </w:pPr>
      <w:r>
        <w:rPr>
          <w:rFonts w:hint="eastAsia" w:cs="宋体"/>
          <w:sz w:val="24"/>
          <w:szCs w:val="24"/>
        </w:rPr>
        <w:t>3.14本项目不接受联合体投标、不允许转包或分包。</w:t>
      </w:r>
    </w:p>
    <w:p>
      <w:pPr>
        <w:spacing w:line="460" w:lineRule="exact"/>
        <w:rPr>
          <w:rFonts w:cs="宋体"/>
          <w:b/>
          <w:sz w:val="24"/>
          <w:szCs w:val="24"/>
        </w:rPr>
      </w:pPr>
      <w:r>
        <w:rPr>
          <w:rFonts w:hint="eastAsia" w:cs="宋体"/>
          <w:b/>
          <w:sz w:val="24"/>
          <w:szCs w:val="24"/>
        </w:rPr>
        <w:t>4、</w:t>
      </w:r>
      <w:r>
        <w:rPr>
          <w:rFonts w:hint="eastAsia" w:cs="宋体"/>
          <w:b/>
          <w:bCs/>
          <w:sz w:val="24"/>
          <w:szCs w:val="24"/>
        </w:rPr>
        <w:t>报名及招标文件的获取</w:t>
      </w:r>
    </w:p>
    <w:p>
      <w:pPr>
        <w:spacing w:line="460" w:lineRule="exact"/>
        <w:ind w:firstLine="480" w:firstLineChars="200"/>
        <w:rPr>
          <w:rFonts w:cs="宋体"/>
          <w:sz w:val="24"/>
          <w:szCs w:val="24"/>
        </w:rPr>
      </w:pPr>
      <w:r>
        <w:rPr>
          <w:rFonts w:hint="eastAsia" w:cs="宋体"/>
          <w:sz w:val="24"/>
          <w:szCs w:val="24"/>
        </w:rPr>
        <w:t>凡有意参加投标者，请于2023年</w:t>
      </w:r>
      <w:r>
        <w:rPr>
          <w:rFonts w:hint="eastAsia" w:cs="宋体"/>
          <w:sz w:val="24"/>
          <w:szCs w:val="24"/>
          <w:u w:val="single"/>
        </w:rPr>
        <w:t xml:space="preserve"> 11</w:t>
      </w:r>
      <w:r>
        <w:rPr>
          <w:rFonts w:hint="eastAsia" w:cs="宋体"/>
          <w:sz w:val="24"/>
          <w:szCs w:val="24"/>
        </w:rPr>
        <w:t>月</w:t>
      </w:r>
      <w:r>
        <w:rPr>
          <w:rFonts w:hint="eastAsia" w:cs="宋体"/>
          <w:sz w:val="24"/>
          <w:szCs w:val="24"/>
          <w:u w:val="single"/>
          <w:lang w:val="en-US" w:eastAsia="zh-CN"/>
        </w:rPr>
        <w:t>10</w:t>
      </w:r>
      <w:r>
        <w:rPr>
          <w:rFonts w:hint="eastAsia" w:cs="宋体"/>
          <w:sz w:val="24"/>
          <w:szCs w:val="24"/>
        </w:rPr>
        <w:t>日下午17:30前，按照4.1-4.3顺序及所列项相关资料的原件扫描件（要求每一页原文件扫描在一页上，禁止两页或多页合并扫描在一页，扫描文件必须清晰可辨否则影响报名的审核，扫描文件格式为pdf格式，禁止采用压缩文件格式或图片格式，</w:t>
      </w:r>
      <w:r>
        <w:rPr>
          <w:rFonts w:hint="eastAsia" w:cs="宋体"/>
          <w:b/>
          <w:bCs/>
          <w:sz w:val="24"/>
          <w:szCs w:val="24"/>
        </w:rPr>
        <w:t>所有扫描文件都集成到1个pdf文档</w:t>
      </w:r>
      <w:r>
        <w:rPr>
          <w:rFonts w:hint="eastAsia" w:cs="宋体"/>
          <w:sz w:val="24"/>
          <w:szCs w:val="24"/>
        </w:rPr>
        <w:t>并设置目录）发送至邮箱</w:t>
      </w:r>
      <w:r>
        <w:rPr>
          <w:rFonts w:cs="宋体"/>
          <w:sz w:val="24"/>
          <w:szCs w:val="24"/>
          <w:u w:val="single"/>
        </w:rPr>
        <w:t>642286118@qq.com</w:t>
      </w:r>
      <w:r>
        <w:rPr>
          <w:rFonts w:hint="eastAsia" w:cs="宋体"/>
          <w:sz w:val="24"/>
          <w:szCs w:val="24"/>
        </w:rPr>
        <w:t>并电话联系工作人员查收（温广雄；联系方式：</w:t>
      </w:r>
      <w:r>
        <w:rPr>
          <w:rFonts w:cs="宋体"/>
          <w:sz w:val="24"/>
          <w:szCs w:val="24"/>
        </w:rPr>
        <w:t>18649979199</w:t>
      </w:r>
      <w:r>
        <w:rPr>
          <w:rFonts w:hint="eastAsia" w:cs="宋体"/>
          <w:sz w:val="24"/>
          <w:szCs w:val="24"/>
        </w:rPr>
        <w:t>），邮件名格式为：</w:t>
      </w:r>
      <w:r>
        <w:rPr>
          <w:rFonts w:hint="eastAsia" w:cs="宋体"/>
          <w:b/>
          <w:bCs/>
          <w:sz w:val="24"/>
          <w:szCs w:val="24"/>
        </w:rPr>
        <w:t>XXX公司（五个字以内公司简称）XX项目报名资料。</w:t>
      </w:r>
    </w:p>
    <w:p>
      <w:pPr>
        <w:spacing w:line="460" w:lineRule="exact"/>
        <w:rPr>
          <w:rFonts w:cs="宋体"/>
          <w:sz w:val="24"/>
          <w:szCs w:val="24"/>
        </w:rPr>
      </w:pPr>
      <w:r>
        <w:rPr>
          <w:rFonts w:hint="eastAsia" w:cs="宋体"/>
          <w:b/>
          <w:bCs/>
          <w:sz w:val="24"/>
          <w:szCs w:val="24"/>
        </w:rPr>
        <w:t>同时必须在邮件中以文字方式提供投标人全称、投标授权人姓名、联系方式</w:t>
      </w:r>
      <w:r>
        <w:rPr>
          <w:rFonts w:hint="eastAsia" w:cs="宋体"/>
          <w:sz w:val="24"/>
          <w:szCs w:val="24"/>
        </w:rPr>
        <w:t>（固定电话、手机、电子邮箱）。</w:t>
      </w:r>
    </w:p>
    <w:p>
      <w:pPr>
        <w:spacing w:line="460" w:lineRule="exact"/>
        <w:ind w:firstLine="480" w:firstLineChars="200"/>
        <w:rPr>
          <w:rFonts w:cs="宋体"/>
          <w:sz w:val="24"/>
          <w:szCs w:val="24"/>
        </w:rPr>
      </w:pPr>
      <w:r>
        <w:rPr>
          <w:rFonts w:hint="eastAsia" w:cs="宋体"/>
          <w:sz w:val="24"/>
          <w:szCs w:val="24"/>
        </w:rPr>
        <w:t>4.1营业执照；</w:t>
      </w:r>
    </w:p>
    <w:p>
      <w:pPr>
        <w:spacing w:line="460" w:lineRule="exact"/>
        <w:ind w:firstLine="480" w:firstLineChars="200"/>
        <w:rPr>
          <w:rFonts w:cs="宋体"/>
          <w:sz w:val="24"/>
          <w:szCs w:val="24"/>
        </w:rPr>
      </w:pPr>
      <w:r>
        <w:rPr>
          <w:rFonts w:hint="eastAsia" w:cs="宋体"/>
          <w:sz w:val="24"/>
          <w:szCs w:val="24"/>
        </w:rPr>
        <w:t>4.2 2020年1月1日至今有相似的100万（合同额）以上的工业类型数字化实施项目案列或IT类系统集成案例1例（含）以上。须提供用户清单、采购合同复印件、验收报告；</w:t>
      </w:r>
    </w:p>
    <w:p>
      <w:pPr>
        <w:spacing w:line="460" w:lineRule="exact"/>
        <w:ind w:firstLine="480" w:firstLineChars="200"/>
        <w:rPr>
          <w:rFonts w:cs="宋体"/>
          <w:sz w:val="24"/>
          <w:szCs w:val="24"/>
        </w:rPr>
      </w:pPr>
      <w:r>
        <w:rPr>
          <w:rFonts w:hint="eastAsia" w:cs="宋体"/>
          <w:sz w:val="24"/>
          <w:szCs w:val="24"/>
        </w:rPr>
        <w:t>4.3财务状况表、信用中国截图；</w:t>
      </w:r>
    </w:p>
    <w:p>
      <w:pPr>
        <w:spacing w:line="460" w:lineRule="exact"/>
        <w:ind w:firstLine="480" w:firstLineChars="200"/>
        <w:rPr>
          <w:rFonts w:cs="宋体"/>
          <w:b/>
          <w:bCs/>
          <w:sz w:val="24"/>
          <w:szCs w:val="24"/>
        </w:rPr>
      </w:pPr>
      <w:r>
        <w:rPr>
          <w:rFonts w:hint="eastAsia" w:cs="宋体"/>
          <w:sz w:val="24"/>
          <w:szCs w:val="24"/>
        </w:rPr>
        <w:t>本项目实行</w:t>
      </w:r>
      <w:r>
        <w:rPr>
          <w:rFonts w:hint="eastAsia" w:cs="宋体"/>
          <w:b/>
          <w:sz w:val="24"/>
          <w:szCs w:val="24"/>
        </w:rPr>
        <w:t>资格预审</w:t>
      </w:r>
      <w:r>
        <w:rPr>
          <w:rFonts w:hint="eastAsia" w:cs="宋体"/>
          <w:sz w:val="24"/>
          <w:szCs w:val="24"/>
        </w:rPr>
        <w:t>，报名成功不代表资格审查通过，以最终通过资格审查委员会的审查为准，审查通过的将会以电话或邮件形式告知。</w:t>
      </w:r>
    </w:p>
    <w:p>
      <w:pPr>
        <w:spacing w:line="460" w:lineRule="exact"/>
        <w:rPr>
          <w:rFonts w:cs="宋体"/>
          <w:b/>
          <w:sz w:val="24"/>
          <w:szCs w:val="24"/>
        </w:rPr>
      </w:pPr>
      <w:r>
        <w:rPr>
          <w:rFonts w:hint="eastAsia" w:cs="宋体"/>
          <w:b/>
          <w:sz w:val="24"/>
          <w:szCs w:val="24"/>
        </w:rPr>
        <w:t>5、投标文件的递交</w:t>
      </w:r>
    </w:p>
    <w:p>
      <w:pPr>
        <w:spacing w:line="460" w:lineRule="exact"/>
        <w:ind w:firstLine="480" w:firstLineChars="200"/>
        <w:rPr>
          <w:rFonts w:cs="宋体"/>
          <w:sz w:val="24"/>
          <w:szCs w:val="24"/>
        </w:rPr>
      </w:pPr>
      <w:r>
        <w:rPr>
          <w:rFonts w:hint="eastAsia" w:cs="宋体"/>
          <w:sz w:val="24"/>
          <w:szCs w:val="24"/>
        </w:rPr>
        <w:t>5.1 投标文件递交的截止时间</w:t>
      </w:r>
      <w:r>
        <w:rPr>
          <w:rFonts w:hint="eastAsia" w:cs="宋体"/>
          <w:kern w:val="0"/>
          <w:sz w:val="24"/>
          <w:szCs w:val="24"/>
        </w:rPr>
        <w:t>详见招标文件</w:t>
      </w:r>
      <w:r>
        <w:rPr>
          <w:rFonts w:hint="eastAsia" w:cs="宋体"/>
          <w:sz w:val="24"/>
          <w:szCs w:val="24"/>
        </w:rPr>
        <w:t>。</w:t>
      </w:r>
    </w:p>
    <w:p>
      <w:pPr>
        <w:spacing w:line="460" w:lineRule="exact"/>
        <w:ind w:firstLine="480" w:firstLineChars="200"/>
        <w:rPr>
          <w:rFonts w:cs="宋体"/>
          <w:sz w:val="24"/>
          <w:szCs w:val="24"/>
        </w:rPr>
      </w:pPr>
      <w:r>
        <w:rPr>
          <w:rFonts w:hint="eastAsia" w:cs="宋体"/>
          <w:sz w:val="24"/>
          <w:szCs w:val="24"/>
        </w:rPr>
        <w:t>5.2 逾期送达的或者未送达指定地点的投标文件，招标人不予受理。</w:t>
      </w:r>
    </w:p>
    <w:p>
      <w:pPr>
        <w:autoSpaceDE w:val="0"/>
        <w:autoSpaceDN w:val="0"/>
        <w:adjustRightInd w:val="0"/>
        <w:snapToGrid w:val="0"/>
        <w:spacing w:line="460" w:lineRule="exact"/>
        <w:jc w:val="left"/>
        <w:rPr>
          <w:rFonts w:cs="宋体"/>
          <w:b/>
          <w:kern w:val="0"/>
          <w:sz w:val="24"/>
          <w:szCs w:val="24"/>
        </w:rPr>
      </w:pPr>
      <w:r>
        <w:rPr>
          <w:rFonts w:hint="eastAsia" w:cs="宋体"/>
          <w:b/>
          <w:kern w:val="0"/>
          <w:sz w:val="24"/>
          <w:szCs w:val="24"/>
        </w:rPr>
        <w:t>6、招标公告发布媒介</w:t>
      </w:r>
    </w:p>
    <w:p>
      <w:pPr>
        <w:spacing w:line="460" w:lineRule="exact"/>
        <w:ind w:firstLine="480" w:firstLineChars="200"/>
        <w:rPr>
          <w:rFonts w:cs="宋体"/>
          <w:sz w:val="24"/>
          <w:szCs w:val="24"/>
        </w:rPr>
      </w:pPr>
      <w:r>
        <w:rPr>
          <w:rFonts w:hint="eastAsia" w:cs="宋体"/>
          <w:sz w:val="24"/>
          <w:szCs w:val="24"/>
        </w:rPr>
        <w:t>本次招标公告在阳光采购服务平台</w:t>
      </w:r>
      <w:r>
        <w:rPr>
          <w:rFonts w:hint="eastAsia" w:cs="宋体"/>
          <w:kern w:val="0"/>
          <w:sz w:val="24"/>
          <w:szCs w:val="24"/>
        </w:rPr>
        <w:t>、中国重汽集团官方网站、中国重汽集团福建海西汽车有限公司官方网站发布</w:t>
      </w:r>
      <w:r>
        <w:rPr>
          <w:rFonts w:hint="eastAsia" w:cs="宋体"/>
          <w:sz w:val="24"/>
          <w:szCs w:val="24"/>
        </w:rPr>
        <w:t>。</w:t>
      </w:r>
    </w:p>
    <w:p>
      <w:pPr>
        <w:spacing w:line="460" w:lineRule="exact"/>
        <w:ind w:firstLine="482" w:firstLineChars="200"/>
        <w:rPr>
          <w:rFonts w:cs="宋体"/>
          <w:b/>
          <w:bCs/>
          <w:sz w:val="24"/>
          <w:szCs w:val="24"/>
        </w:rPr>
      </w:pPr>
      <w:r>
        <w:rPr>
          <w:rFonts w:hint="eastAsia" w:cs="宋体"/>
          <w:b/>
          <w:bCs/>
          <w:sz w:val="24"/>
          <w:szCs w:val="24"/>
        </w:rPr>
        <w:t>领取招标文件方式：中国重汽官方网址自行下载。</w:t>
      </w:r>
    </w:p>
    <w:p>
      <w:pPr>
        <w:autoSpaceDE w:val="0"/>
        <w:autoSpaceDN w:val="0"/>
        <w:adjustRightInd w:val="0"/>
        <w:snapToGrid w:val="0"/>
        <w:spacing w:line="460" w:lineRule="exact"/>
        <w:jc w:val="left"/>
        <w:rPr>
          <w:rFonts w:cs="宋体"/>
          <w:b/>
          <w:kern w:val="0"/>
          <w:sz w:val="24"/>
          <w:szCs w:val="24"/>
        </w:rPr>
      </w:pPr>
      <w:r>
        <w:rPr>
          <w:rFonts w:hint="eastAsia" w:cs="宋体"/>
          <w:b/>
          <w:kern w:val="0"/>
          <w:sz w:val="24"/>
          <w:szCs w:val="24"/>
        </w:rPr>
        <w:t>7、 联系方式</w:t>
      </w:r>
    </w:p>
    <w:p>
      <w:pPr>
        <w:autoSpaceDE w:val="0"/>
        <w:autoSpaceDN w:val="0"/>
        <w:adjustRightInd w:val="0"/>
        <w:snapToGrid w:val="0"/>
        <w:spacing w:line="460" w:lineRule="exact"/>
        <w:ind w:firstLine="480" w:firstLineChars="200"/>
        <w:jc w:val="left"/>
        <w:rPr>
          <w:rFonts w:cs="宋体"/>
          <w:bCs/>
          <w:sz w:val="24"/>
          <w:szCs w:val="24"/>
        </w:rPr>
      </w:pPr>
      <w:r>
        <w:rPr>
          <w:rFonts w:hint="eastAsia" w:cs="宋体"/>
          <w:sz w:val="24"/>
          <w:szCs w:val="24"/>
        </w:rPr>
        <w:t>招 标 人：</w:t>
      </w:r>
      <w:r>
        <w:rPr>
          <w:rFonts w:hint="eastAsia" w:cs="宋体"/>
          <w:bCs/>
          <w:sz w:val="24"/>
          <w:szCs w:val="24"/>
        </w:rPr>
        <w:t>中国重汽集团福建海西汽车有限公司</w:t>
      </w:r>
    </w:p>
    <w:p>
      <w:pPr>
        <w:autoSpaceDE w:val="0"/>
        <w:autoSpaceDN w:val="0"/>
        <w:adjustRightInd w:val="0"/>
        <w:snapToGrid w:val="0"/>
        <w:spacing w:line="460" w:lineRule="exact"/>
        <w:ind w:firstLine="480" w:firstLineChars="200"/>
        <w:jc w:val="left"/>
        <w:rPr>
          <w:rFonts w:cs="宋体"/>
          <w:sz w:val="24"/>
          <w:szCs w:val="24"/>
        </w:rPr>
      </w:pPr>
      <w:r>
        <w:rPr>
          <w:rFonts w:hint="eastAsia" w:cs="宋体"/>
          <w:sz w:val="24"/>
          <w:szCs w:val="24"/>
        </w:rPr>
        <w:t>联 系 人：温广雄</w:t>
      </w:r>
    </w:p>
    <w:p>
      <w:pPr>
        <w:autoSpaceDE w:val="0"/>
        <w:autoSpaceDN w:val="0"/>
        <w:adjustRightInd w:val="0"/>
        <w:snapToGrid w:val="0"/>
        <w:spacing w:line="460" w:lineRule="exact"/>
        <w:ind w:firstLine="480" w:firstLineChars="200"/>
        <w:rPr>
          <w:rFonts w:cs="宋体"/>
          <w:sz w:val="24"/>
          <w:szCs w:val="24"/>
        </w:rPr>
      </w:pPr>
      <w:r>
        <w:rPr>
          <w:rFonts w:hint="eastAsia" w:cs="宋体"/>
          <w:sz w:val="24"/>
          <w:szCs w:val="24"/>
        </w:rPr>
        <w:t xml:space="preserve">联系电话: </w:t>
      </w:r>
      <w:r>
        <w:rPr>
          <w:rFonts w:hint="eastAsia"/>
          <w:sz w:val="24"/>
        </w:rPr>
        <w:t>18649979199。</w:t>
      </w:r>
    </w:p>
    <w:p>
      <w:pPr>
        <w:pStyle w:val="2"/>
        <w:spacing w:line="460" w:lineRule="exact"/>
        <w:rPr>
          <w:rFonts w:ascii="Times New Roman" w:hAnsi="Times New Roman" w:cs="宋体"/>
          <w:sz w:val="24"/>
          <w:szCs w:val="24"/>
        </w:rPr>
      </w:pPr>
    </w:p>
    <w:p>
      <w:pPr>
        <w:autoSpaceDE w:val="0"/>
        <w:autoSpaceDN w:val="0"/>
        <w:adjustRightInd w:val="0"/>
        <w:snapToGrid w:val="0"/>
        <w:spacing w:line="460" w:lineRule="exact"/>
        <w:ind w:firstLine="5040" w:firstLineChars="2100"/>
        <w:rPr>
          <w:rFonts w:cs="宋体"/>
          <w:sz w:val="24"/>
          <w:szCs w:val="24"/>
        </w:rPr>
      </w:pPr>
      <w:r>
        <w:rPr>
          <w:rFonts w:hint="eastAsia" w:cs="宋体"/>
          <w:bCs/>
          <w:sz w:val="24"/>
          <w:szCs w:val="24"/>
        </w:rPr>
        <w:t>中国重汽集团福建海西汽车有限公司</w:t>
      </w:r>
    </w:p>
    <w:p>
      <w:pPr>
        <w:autoSpaceDE w:val="0"/>
        <w:autoSpaceDN w:val="0"/>
        <w:adjustRightInd w:val="0"/>
        <w:snapToGrid w:val="0"/>
        <w:spacing w:line="460" w:lineRule="exact"/>
        <w:ind w:firstLine="6240" w:firstLineChars="2600"/>
        <w:rPr>
          <w:rFonts w:cs="宋体"/>
          <w:sz w:val="24"/>
          <w:szCs w:val="24"/>
        </w:rPr>
      </w:pPr>
      <w:r>
        <w:rPr>
          <w:rFonts w:hint="eastAsia" w:cs="宋体"/>
          <w:sz w:val="24"/>
          <w:szCs w:val="24"/>
        </w:rPr>
        <w:t>2023年10月2</w:t>
      </w:r>
      <w:r>
        <w:rPr>
          <w:rFonts w:hint="eastAsia" w:cs="宋体"/>
          <w:sz w:val="24"/>
          <w:szCs w:val="24"/>
          <w:lang w:val="en-US" w:eastAsia="zh-CN"/>
        </w:rPr>
        <w:t>8</w:t>
      </w:r>
      <w:r>
        <w:rPr>
          <w:rFonts w:hint="eastAsia" w:cs="宋体"/>
          <w:sz w:val="24"/>
          <w:szCs w:val="24"/>
        </w:rPr>
        <w:t>日</w:t>
      </w:r>
    </w:p>
    <w:p>
      <w:pPr>
        <w:pStyle w:val="31"/>
        <w:spacing w:line="500" w:lineRule="exact"/>
        <w:jc w:val="center"/>
        <w:outlineLvl w:val="0"/>
        <w:rPr>
          <w:rFonts w:ascii="Times New Roman" w:hAnsi="Times New Roman"/>
        </w:rPr>
      </w:pPr>
      <w:r>
        <w:rPr>
          <w:rFonts w:hint="eastAsia" w:ascii="Times New Roman" w:hAnsi="Times New Roman"/>
        </w:rPr>
        <w:br w:type="page"/>
      </w:r>
      <w:bookmarkStart w:id="12" w:name="_Toc24111"/>
      <w:bookmarkStart w:id="13" w:name="_Toc31195"/>
      <w:bookmarkStart w:id="14" w:name="_Toc22001"/>
      <w:bookmarkStart w:id="15" w:name="_Toc27415"/>
      <w:r>
        <w:rPr>
          <w:rFonts w:hint="eastAsia" w:ascii="Times New Roman" w:hAnsi="Times New Roman"/>
          <w:b/>
          <w:iCs/>
          <w:sz w:val="36"/>
          <w:szCs w:val="20"/>
        </w:rPr>
        <w:t>第二章   投标人须知</w:t>
      </w:r>
      <w:bookmarkEnd w:id="12"/>
      <w:bookmarkEnd w:id="13"/>
      <w:bookmarkEnd w:id="14"/>
      <w:bookmarkEnd w:id="15"/>
    </w:p>
    <w:p>
      <w:pPr>
        <w:pStyle w:val="3"/>
        <w:numPr>
          <w:ilvl w:val="0"/>
          <w:numId w:val="0"/>
        </w:numPr>
        <w:spacing w:line="500" w:lineRule="exact"/>
      </w:pPr>
      <w:bookmarkStart w:id="16" w:name="_Toc51786753"/>
      <w:bookmarkStart w:id="17" w:name="_Toc22228"/>
      <w:bookmarkStart w:id="18" w:name="_Toc10950"/>
      <w:bookmarkStart w:id="19" w:name="_Toc32161"/>
      <w:bookmarkStart w:id="20" w:name="_Toc51786884"/>
      <w:bookmarkStart w:id="21" w:name="_Toc78960815"/>
      <w:bookmarkStart w:id="22" w:name="_Toc49503543"/>
      <w:bookmarkStart w:id="23" w:name="_Toc7813"/>
      <w:r>
        <w:rPr>
          <w:rFonts w:hint="eastAsia"/>
        </w:rPr>
        <w:t>投标人须知前附表</w:t>
      </w:r>
      <w:bookmarkEnd w:id="16"/>
      <w:bookmarkEnd w:id="17"/>
      <w:bookmarkEnd w:id="18"/>
      <w:bookmarkEnd w:id="19"/>
      <w:bookmarkEnd w:id="20"/>
      <w:bookmarkEnd w:id="21"/>
      <w:bookmarkEnd w:id="22"/>
      <w:bookmarkEnd w:id="23"/>
    </w:p>
    <w:p>
      <w:pPr>
        <w:spacing w:line="500" w:lineRule="exact"/>
        <w:ind w:firstLine="480" w:firstLineChars="200"/>
        <w:rPr>
          <w:sz w:val="24"/>
          <w:szCs w:val="24"/>
        </w:rPr>
      </w:pPr>
      <w:r>
        <w:rPr>
          <w:rFonts w:hint="eastAsia" w:cs="宋体"/>
          <w:sz w:val="24"/>
          <w:szCs w:val="24"/>
        </w:rPr>
        <w:t>本表是对“投标人须知”正文的具体补充和修改，如有不一致，以“前附表”为准。</w:t>
      </w:r>
    </w:p>
    <w:tbl>
      <w:tblPr>
        <w:tblStyle w:val="77"/>
        <w:tblpPr w:leftFromText="180" w:rightFromText="180" w:vertAnchor="text" w:tblpXSpec="center" w:tblpY="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45"/>
        <w:gridCol w:w="84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7" w:hRule="atLeast"/>
          <w:tblHeader/>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bookmarkStart w:id="24" w:name="_Toc346372875"/>
            <w:r>
              <w:rPr>
                <w:rFonts w:hint="eastAsia" w:eastAsiaTheme="minorEastAsia" w:cstheme="minorEastAsia"/>
                <w:sz w:val="24"/>
                <w:szCs w:val="24"/>
              </w:rPr>
              <w:t>序号</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3542" w:firstLineChars="1470"/>
              <w:rPr>
                <w:rFonts w:eastAsiaTheme="minorEastAsia" w:cstheme="minorEastAsia"/>
                <w:b/>
                <w:bCs/>
                <w:sz w:val="24"/>
                <w:szCs w:val="24"/>
              </w:rPr>
            </w:pPr>
            <w:r>
              <w:rPr>
                <w:rFonts w:hint="eastAsia" w:eastAsiaTheme="minorEastAsia" w:cstheme="minorEastAsia"/>
                <w:b/>
                <w:bCs/>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20" w:hRule="atLeast"/>
        </w:trPr>
        <w:tc>
          <w:tcPr>
            <w:tcW w:w="9105" w:type="dxa"/>
            <w:gridSpan w:val="2"/>
            <w:tcBorders>
              <w:top w:val="single" w:color="auto" w:sz="2" w:space="0"/>
              <w:left w:val="single" w:color="auto" w:sz="2" w:space="0"/>
              <w:bottom w:val="single" w:color="auto" w:sz="2" w:space="0"/>
              <w:right w:val="single" w:color="auto" w:sz="2" w:space="0"/>
            </w:tcBorders>
            <w:vAlign w:val="center"/>
          </w:tcPr>
          <w:p>
            <w:pPr>
              <w:spacing w:line="440" w:lineRule="exact"/>
              <w:ind w:left="-27" w:firstLine="1"/>
              <w:jc w:val="center"/>
              <w:rPr>
                <w:rFonts w:eastAsiaTheme="minorEastAsia" w:cstheme="minorEastAsia"/>
                <w:b/>
                <w:bCs/>
                <w:sz w:val="24"/>
                <w:szCs w:val="24"/>
              </w:rPr>
            </w:pPr>
            <w:r>
              <w:rPr>
                <w:rFonts w:hint="eastAsia" w:eastAsiaTheme="minorEastAsia" w:cstheme="minorEastAsia"/>
                <w:b/>
                <w:bCs/>
                <w:sz w:val="24"/>
                <w:szCs w:val="24"/>
              </w:rPr>
              <w:t>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1</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cstheme="minorEastAsia"/>
                <w:bCs/>
                <w:sz w:val="24"/>
                <w:szCs w:val="24"/>
              </w:rPr>
            </w:pPr>
            <w:r>
              <w:rPr>
                <w:rFonts w:hint="eastAsia" w:eastAsiaTheme="minorEastAsia" w:cstheme="minorEastAsia"/>
                <w:sz w:val="24"/>
                <w:szCs w:val="24"/>
              </w:rPr>
              <w:t>项目名称：</w:t>
            </w:r>
            <w:r>
              <w:rPr>
                <w:rFonts w:hint="eastAsia" w:cs="宋体"/>
                <w:sz w:val="24"/>
                <w:szCs w:val="24"/>
                <w:u w:val="single"/>
              </w:rPr>
              <w:t>总装部定量加注机及定扭设备智能化改造项目</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采购形式编号：CGZXCX-202310-1365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2</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bCs/>
                <w:snapToGrid w:val="0"/>
                <w:kern w:val="0"/>
                <w:sz w:val="24"/>
                <w:szCs w:val="24"/>
              </w:rPr>
            </w:pPr>
            <w:r>
              <w:rPr>
                <w:rFonts w:hint="eastAsia" w:eastAsiaTheme="minorEastAsia" w:cstheme="minorEastAsia"/>
                <w:bCs/>
                <w:snapToGrid w:val="0"/>
                <w:kern w:val="0"/>
                <w:sz w:val="24"/>
                <w:szCs w:val="24"/>
              </w:rPr>
              <w:t>招标人名称：</w:t>
            </w:r>
            <w:r>
              <w:rPr>
                <w:rFonts w:hint="eastAsia" w:eastAsiaTheme="minorEastAsia" w:cstheme="minorEastAsia"/>
                <w:sz w:val="24"/>
                <w:szCs w:val="24"/>
                <w:u w:val="single"/>
              </w:rPr>
              <w:t>中国重汽集团福建海西汽车有限公司</w:t>
            </w:r>
            <w:r>
              <w:rPr>
                <w:rFonts w:hint="eastAsia" w:eastAsiaTheme="minorEastAsia" w:cstheme="minorEastAsia"/>
                <w:bCs/>
                <w:snapToGrid w:val="0"/>
                <w:kern w:val="0"/>
                <w:sz w:val="24"/>
                <w:szCs w:val="24"/>
              </w:rPr>
              <w:t xml:space="preserve"> </w:t>
            </w:r>
          </w:p>
          <w:p>
            <w:pPr>
              <w:spacing w:line="440" w:lineRule="exact"/>
              <w:ind w:firstLine="480" w:firstLineChars="200"/>
              <w:rPr>
                <w:rFonts w:eastAsiaTheme="minorEastAsia" w:cstheme="minorEastAsia"/>
                <w:sz w:val="24"/>
                <w:szCs w:val="24"/>
              </w:rPr>
            </w:pPr>
            <w:r>
              <w:rPr>
                <w:rFonts w:hint="eastAsia" w:eastAsiaTheme="minorEastAsia" w:cstheme="minorEastAsia"/>
                <w:bCs/>
                <w:snapToGrid w:val="0"/>
                <w:kern w:val="0"/>
                <w:sz w:val="24"/>
                <w:szCs w:val="24"/>
              </w:rPr>
              <w:t>项目地址：</w:t>
            </w:r>
            <w:r>
              <w:rPr>
                <w:rFonts w:hint="eastAsia" w:eastAsiaTheme="minorEastAsia" w:cstheme="minorEastAsia"/>
                <w:sz w:val="24"/>
                <w:szCs w:val="24"/>
                <w:u w:val="single"/>
              </w:rPr>
              <w:t>福建省永安市埔岭99号</w:t>
            </w:r>
            <w:r>
              <w:rPr>
                <w:rFonts w:hint="eastAsia" w:eastAsiaTheme="minorEastAsia" w:cstheme="minorEastAsia"/>
                <w:sz w:val="24"/>
                <w:szCs w:val="24"/>
              </w:rPr>
              <w:t xml:space="preserve"> </w:t>
            </w:r>
          </w:p>
          <w:p>
            <w:pPr>
              <w:spacing w:line="440" w:lineRule="exact"/>
              <w:ind w:firstLine="480" w:firstLineChars="200"/>
              <w:rPr>
                <w:rFonts w:eastAsiaTheme="minorEastAsia" w:cstheme="minorEastAsia"/>
                <w:bCs/>
                <w:snapToGrid w:val="0"/>
                <w:kern w:val="0"/>
                <w:sz w:val="24"/>
                <w:szCs w:val="24"/>
              </w:rPr>
            </w:pPr>
            <w:r>
              <w:rPr>
                <w:rFonts w:hint="eastAsia" w:eastAsiaTheme="minorEastAsia" w:cstheme="minorEastAsia"/>
                <w:bCs/>
                <w:snapToGrid w:val="0"/>
                <w:kern w:val="0"/>
                <w:sz w:val="24"/>
                <w:szCs w:val="24"/>
              </w:rPr>
              <w:t>联系人：温广雄</w:t>
            </w:r>
          </w:p>
          <w:p>
            <w:pPr>
              <w:spacing w:line="440" w:lineRule="exact"/>
              <w:ind w:firstLine="480" w:firstLineChars="200"/>
              <w:rPr>
                <w:rFonts w:eastAsiaTheme="minorEastAsia" w:cstheme="minorEastAsia"/>
                <w:sz w:val="24"/>
                <w:szCs w:val="24"/>
              </w:rPr>
            </w:pPr>
            <w:r>
              <w:rPr>
                <w:rFonts w:hint="eastAsia" w:eastAsiaTheme="minorEastAsia" w:cstheme="minorEastAsia"/>
                <w:bCs/>
                <w:snapToGrid w:val="0"/>
                <w:kern w:val="0"/>
                <w:sz w:val="24"/>
                <w:szCs w:val="24"/>
              </w:rPr>
              <w:t>电话：18649979199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74"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3</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资金来源：</w:t>
            </w:r>
            <w:r>
              <w:rPr>
                <w:rFonts w:hint="eastAsia" w:eastAsiaTheme="minorEastAsia" w:cstheme="minorEastAsia"/>
                <w:kern w:val="0"/>
                <w:sz w:val="24"/>
                <w:szCs w:val="24"/>
              </w:rPr>
              <w:t>企业自筹，已落实；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4</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2" w:firstLineChars="200"/>
              <w:rPr>
                <w:rFonts w:eastAsiaTheme="minorEastAsia" w:cstheme="minorEastAsia"/>
                <w:sz w:val="24"/>
                <w:szCs w:val="24"/>
              </w:rPr>
            </w:pPr>
            <w:r>
              <w:rPr>
                <w:rFonts w:hint="eastAsia" w:eastAsiaTheme="minorEastAsia" w:cstheme="minorEastAsia"/>
                <w:b/>
                <w:sz w:val="24"/>
                <w:szCs w:val="24"/>
              </w:rPr>
              <w:t>合格投标人需满足以下要求</w:t>
            </w:r>
            <w:r>
              <w:rPr>
                <w:rFonts w:hint="eastAsia" w:eastAsiaTheme="minorEastAsia" w:cstheme="minorEastAsia"/>
                <w:sz w:val="24"/>
                <w:szCs w:val="24"/>
              </w:rPr>
              <w:t>：</w:t>
            </w:r>
          </w:p>
          <w:p>
            <w:pPr>
              <w:spacing w:line="460" w:lineRule="exact"/>
              <w:ind w:firstLine="480" w:firstLineChars="200"/>
              <w:rPr>
                <w:rFonts w:cs="宋体"/>
                <w:sz w:val="24"/>
                <w:szCs w:val="24"/>
              </w:rPr>
            </w:pPr>
            <w:r>
              <w:rPr>
                <w:rFonts w:hint="eastAsia" w:cs="宋体"/>
                <w:sz w:val="24"/>
                <w:szCs w:val="24"/>
              </w:rPr>
              <w:t>4.1拟标投人必须是在中华人民共和国境内注册的独立法人或授权分支机构，具有独立承担民事责任能力；独立法人注册资金不少于1000万人民币（或等值其他货币），授权分支机构需提供上级授权机构营业执照；公司成立三年以上（以营业执照成立日期到开标当日满三年为准），且经营范围满足招标人需求；并在人员、设备、资金等方面具有承担本项目的能力；</w:t>
            </w:r>
          </w:p>
          <w:p>
            <w:pPr>
              <w:spacing w:line="460" w:lineRule="exact"/>
              <w:ind w:firstLine="480" w:firstLineChars="200"/>
              <w:rPr>
                <w:rFonts w:cs="宋体"/>
                <w:sz w:val="24"/>
                <w:szCs w:val="24"/>
              </w:rPr>
            </w:pPr>
            <w:r>
              <w:rPr>
                <w:rFonts w:hint="eastAsia" w:cs="宋体"/>
                <w:sz w:val="24"/>
                <w:szCs w:val="24"/>
              </w:rPr>
              <w:t>4.2拟投标人应提供营业执照副本原件和扫描件（需盖章）；</w:t>
            </w:r>
          </w:p>
          <w:p>
            <w:pPr>
              <w:spacing w:line="460" w:lineRule="exact"/>
              <w:ind w:firstLine="480" w:firstLineChars="200"/>
              <w:rPr>
                <w:rFonts w:cs="宋体"/>
                <w:sz w:val="24"/>
                <w:szCs w:val="24"/>
              </w:rPr>
            </w:pPr>
            <w:r>
              <w:rPr>
                <w:rFonts w:hint="eastAsia" w:cs="宋体"/>
                <w:sz w:val="24"/>
                <w:szCs w:val="24"/>
              </w:rPr>
              <w:t>4.3拟投标人应提供法定代表人资格或授权分支机构负责人证明文件；</w:t>
            </w:r>
          </w:p>
          <w:p>
            <w:pPr>
              <w:spacing w:line="460" w:lineRule="exact"/>
              <w:ind w:firstLine="480" w:firstLineChars="200"/>
              <w:rPr>
                <w:rFonts w:cs="宋体"/>
                <w:sz w:val="24"/>
                <w:szCs w:val="24"/>
              </w:rPr>
            </w:pPr>
            <w:r>
              <w:rPr>
                <w:rFonts w:hint="eastAsia" w:cs="宋体"/>
                <w:sz w:val="24"/>
                <w:szCs w:val="24"/>
              </w:rPr>
              <w:t>4.4拟投标人在国家市场监督管理总局的《国家企业信用信息公示系统》中查询不存在不良记录；</w:t>
            </w:r>
          </w:p>
          <w:p>
            <w:pPr>
              <w:spacing w:line="460" w:lineRule="exact"/>
              <w:ind w:firstLine="480" w:firstLineChars="200"/>
              <w:rPr>
                <w:rFonts w:cs="宋体"/>
                <w:sz w:val="24"/>
                <w:szCs w:val="24"/>
              </w:rPr>
            </w:pPr>
            <w:r>
              <w:rPr>
                <w:rFonts w:hint="eastAsia" w:cs="宋体"/>
                <w:sz w:val="24"/>
                <w:szCs w:val="24"/>
              </w:rPr>
              <w:t>4.5拟投标人不存在严重违规或被列入招标人“黑名单”的声明；</w:t>
            </w:r>
            <w:r>
              <w:rPr>
                <w:rFonts w:hint="eastAsia" w:cs="宋体"/>
                <w:sz w:val="24"/>
                <w:szCs w:val="24"/>
              </w:rPr>
              <w:tab/>
            </w:r>
          </w:p>
          <w:p>
            <w:pPr>
              <w:spacing w:line="460" w:lineRule="exact"/>
              <w:ind w:firstLine="480" w:firstLineChars="200"/>
              <w:rPr>
                <w:rFonts w:cs="宋体"/>
                <w:sz w:val="24"/>
                <w:szCs w:val="24"/>
              </w:rPr>
            </w:pPr>
            <w:r>
              <w:rPr>
                <w:rFonts w:hint="eastAsia" w:cs="宋体"/>
                <w:sz w:val="24"/>
                <w:szCs w:val="24"/>
              </w:rPr>
              <w:t>4.6拟投标人2020年1月1日至今经第三方审计的公司财务报表（资产负债表、损益表、现金流量表）未显示异常；</w:t>
            </w:r>
          </w:p>
          <w:p>
            <w:pPr>
              <w:spacing w:line="460" w:lineRule="exact"/>
              <w:ind w:firstLine="480" w:firstLineChars="200"/>
              <w:rPr>
                <w:rFonts w:cs="宋体"/>
                <w:sz w:val="24"/>
                <w:szCs w:val="24"/>
              </w:rPr>
            </w:pPr>
            <w:r>
              <w:rPr>
                <w:rFonts w:hint="eastAsia" w:cs="宋体"/>
                <w:sz w:val="24"/>
                <w:szCs w:val="24"/>
              </w:rPr>
              <w:t>4.7拟投标人2020年1月1日至今有相似的100万（合同额）以上的工业类型数字化实施项目案列或IT类系统集成案例1例（含）以上。须提供用户清单、采购合同复印件、验收报告；</w:t>
            </w:r>
          </w:p>
          <w:p>
            <w:pPr>
              <w:spacing w:line="460" w:lineRule="exact"/>
              <w:ind w:firstLine="480" w:firstLineChars="200"/>
              <w:rPr>
                <w:rFonts w:cs="宋体"/>
                <w:sz w:val="24"/>
                <w:szCs w:val="24"/>
              </w:rPr>
            </w:pPr>
            <w:r>
              <w:rPr>
                <w:rFonts w:hint="eastAsia" w:cs="宋体"/>
                <w:sz w:val="24"/>
                <w:szCs w:val="24"/>
              </w:rPr>
              <w:t>4.8拟投标人近三年内在经营活动中无与本项目有关的违法及重大违规情况；</w:t>
            </w:r>
          </w:p>
          <w:p>
            <w:pPr>
              <w:spacing w:line="460" w:lineRule="exact"/>
              <w:ind w:firstLine="480" w:firstLineChars="200"/>
              <w:rPr>
                <w:rFonts w:cs="宋体"/>
                <w:sz w:val="24"/>
                <w:szCs w:val="24"/>
              </w:rPr>
            </w:pPr>
            <w:r>
              <w:rPr>
                <w:rFonts w:hint="eastAsia" w:cs="宋体"/>
                <w:sz w:val="24"/>
                <w:szCs w:val="24"/>
              </w:rPr>
              <w:t>4.9拟投标人最近半年纳税正常；</w:t>
            </w:r>
          </w:p>
          <w:p>
            <w:pPr>
              <w:spacing w:line="460" w:lineRule="exact"/>
              <w:ind w:firstLine="480" w:firstLineChars="200"/>
              <w:rPr>
                <w:rFonts w:cs="宋体"/>
                <w:sz w:val="24"/>
                <w:szCs w:val="24"/>
              </w:rPr>
            </w:pPr>
            <w:r>
              <w:rPr>
                <w:rFonts w:hint="eastAsia" w:cs="宋体"/>
                <w:sz w:val="24"/>
                <w:szCs w:val="24"/>
              </w:rPr>
              <w:t>4.10拟投标人信用证明材料（征信报告）未显示异常；</w:t>
            </w:r>
          </w:p>
          <w:p>
            <w:pPr>
              <w:spacing w:line="460" w:lineRule="exact"/>
              <w:ind w:firstLine="480" w:firstLineChars="200"/>
              <w:rPr>
                <w:rFonts w:cs="宋体"/>
                <w:sz w:val="24"/>
                <w:szCs w:val="24"/>
              </w:rPr>
            </w:pPr>
            <w:r>
              <w:rPr>
                <w:rFonts w:hint="eastAsia" w:cs="宋体"/>
                <w:sz w:val="24"/>
                <w:szCs w:val="24"/>
              </w:rPr>
              <w:t>4.11拟投标人的直接或间接股东、法定代表人、董事、监事、高管非重汽员工及其亲属；</w:t>
            </w:r>
          </w:p>
          <w:p>
            <w:pPr>
              <w:spacing w:line="460" w:lineRule="exact"/>
              <w:ind w:firstLine="480" w:firstLineChars="200"/>
              <w:rPr>
                <w:rFonts w:cs="宋体"/>
                <w:sz w:val="24"/>
                <w:szCs w:val="24"/>
              </w:rPr>
            </w:pPr>
            <w:r>
              <w:rPr>
                <w:rFonts w:hint="eastAsia" w:cs="宋体"/>
                <w:sz w:val="24"/>
                <w:szCs w:val="24"/>
              </w:rPr>
              <w:t>4.12为确保网络安全，满足技术接入要求的5G专网路由器生产厂家正式授权书扫描件，提供原厂售后服务承诺书扫描件；原件备查。</w:t>
            </w:r>
          </w:p>
          <w:p>
            <w:pPr>
              <w:spacing w:line="460" w:lineRule="exact"/>
              <w:ind w:firstLine="480" w:firstLineChars="200"/>
              <w:rPr>
                <w:rFonts w:cs="宋体"/>
                <w:sz w:val="24"/>
                <w:szCs w:val="24"/>
              </w:rPr>
            </w:pPr>
            <w:r>
              <w:rPr>
                <w:rFonts w:hint="eastAsia" w:cs="宋体"/>
                <w:sz w:val="24"/>
                <w:szCs w:val="24"/>
              </w:rPr>
              <w:t>4.13与招标人存在利害关系可能影响招标公正性的法人、其他组织或者个人，不得参加投标；</w:t>
            </w:r>
          </w:p>
          <w:p>
            <w:pPr>
              <w:spacing w:line="440" w:lineRule="exact"/>
              <w:ind w:firstLine="480" w:firstLineChars="200"/>
              <w:rPr>
                <w:rFonts w:cs="宋体"/>
                <w:sz w:val="24"/>
                <w:szCs w:val="24"/>
              </w:rPr>
            </w:pPr>
            <w:r>
              <w:rPr>
                <w:rFonts w:hint="eastAsia" w:cs="宋体"/>
                <w:sz w:val="24"/>
                <w:szCs w:val="24"/>
              </w:rPr>
              <w:t>4.14本项目不接受联合体投标、不允许转包或分包。</w:t>
            </w:r>
          </w:p>
          <w:p>
            <w:pPr>
              <w:pStyle w:val="31"/>
              <w:ind w:firstLine="420" w:firstLineChars="200"/>
              <w:rPr>
                <w:rFonts w:ascii="Times New Roman" w:hAns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9105" w:type="dxa"/>
            <w:gridSpan w:val="2"/>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b/>
                <w:bCs/>
                <w:sz w:val="24"/>
                <w:szCs w:val="24"/>
              </w:rPr>
            </w:pPr>
            <w:r>
              <w:rPr>
                <w:rFonts w:hint="eastAsia" w:eastAsiaTheme="minorEastAsia" w:cstheme="minorEastAsia"/>
                <w:b/>
                <w:bCs/>
                <w:sz w:val="24"/>
                <w:szCs w:val="24"/>
              </w:rPr>
              <w:t>招标文件的答疑、澄清和修改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5</w:t>
            </w:r>
          </w:p>
        </w:tc>
        <w:tc>
          <w:tcPr>
            <w:tcW w:w="8460" w:type="dxa"/>
            <w:tcBorders>
              <w:top w:val="single" w:color="auto" w:sz="2" w:space="0"/>
              <w:left w:val="single" w:color="auto" w:sz="2" w:space="0"/>
              <w:bottom w:val="single" w:color="auto" w:sz="2" w:space="0"/>
              <w:right w:val="single" w:color="auto" w:sz="2" w:space="0"/>
            </w:tcBorders>
            <w:vAlign w:val="center"/>
          </w:tcPr>
          <w:p>
            <w:pPr>
              <w:snapToGrid w:val="0"/>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提交疑问时间：</w:t>
            </w:r>
            <w:r>
              <w:rPr>
                <w:rFonts w:hint="eastAsia" w:eastAsiaTheme="minorEastAsia" w:cstheme="minorEastAsia"/>
                <w:b/>
                <w:sz w:val="24"/>
                <w:szCs w:val="24"/>
              </w:rPr>
              <w:t>2023年</w:t>
            </w:r>
            <w:r>
              <w:rPr>
                <w:rFonts w:hint="eastAsia" w:eastAsiaTheme="minorEastAsia" w:cstheme="minorEastAsia"/>
                <w:b/>
                <w:sz w:val="24"/>
                <w:szCs w:val="24"/>
                <w:u w:val="single"/>
              </w:rPr>
              <w:t>11</w:t>
            </w:r>
            <w:r>
              <w:rPr>
                <w:rFonts w:hint="eastAsia" w:eastAsiaTheme="minorEastAsia" w:cstheme="minorEastAsia"/>
                <w:b/>
                <w:sz w:val="24"/>
                <w:szCs w:val="24"/>
              </w:rPr>
              <w:t>月</w:t>
            </w:r>
            <w:r>
              <w:rPr>
                <w:rFonts w:hint="eastAsia" w:eastAsiaTheme="minorEastAsia" w:cstheme="minorEastAsia"/>
                <w:b/>
                <w:sz w:val="24"/>
                <w:szCs w:val="24"/>
                <w:u w:val="single"/>
                <w:lang w:val="en-US" w:eastAsia="zh-CN"/>
              </w:rPr>
              <w:t>5</w:t>
            </w:r>
            <w:r>
              <w:rPr>
                <w:rFonts w:hint="eastAsia" w:eastAsiaTheme="minorEastAsia" w:cstheme="minorEastAsia"/>
                <w:b/>
                <w:sz w:val="24"/>
                <w:szCs w:val="24"/>
              </w:rPr>
              <w:t>日17时00分前</w:t>
            </w:r>
            <w:r>
              <w:rPr>
                <w:rFonts w:hint="eastAsia" w:eastAsiaTheme="minorEastAsia" w:cstheme="minorEastAsia"/>
                <w:sz w:val="24"/>
                <w:szCs w:val="24"/>
              </w:rPr>
              <w:t>；</w:t>
            </w:r>
          </w:p>
          <w:p>
            <w:pPr>
              <w:snapToGrid w:val="0"/>
              <w:spacing w:line="440" w:lineRule="exact"/>
              <w:ind w:firstLine="480" w:firstLineChars="200"/>
              <w:rPr>
                <w:rFonts w:eastAsiaTheme="minorEastAsia" w:cstheme="minorEastAsia"/>
                <w:b/>
                <w:bCs/>
                <w:sz w:val="24"/>
                <w:szCs w:val="24"/>
              </w:rPr>
            </w:pPr>
            <w:r>
              <w:rPr>
                <w:rFonts w:hint="eastAsia" w:eastAsiaTheme="minorEastAsia" w:cstheme="minorEastAsia"/>
                <w:sz w:val="24"/>
                <w:szCs w:val="24"/>
              </w:rPr>
              <w:t>提交疑问方式：将答疑问题以word文件格式发邮件至邮箱</w:t>
            </w:r>
            <w:r>
              <w:rPr>
                <w:rFonts w:hint="eastAsia" w:eastAsiaTheme="minorEastAsia" w:cstheme="minorEastAsia"/>
                <w:sz w:val="24"/>
                <w:szCs w:val="24"/>
                <w:u w:val="single"/>
              </w:rPr>
              <w:t xml:space="preserve">642286118@qq.com </w:t>
            </w:r>
            <w:r>
              <w:rPr>
                <w:rFonts w:hint="eastAsia" w:eastAsiaTheme="minorEastAsia" w:cstheme="minorEastAsia"/>
                <w:sz w:val="24"/>
                <w:szCs w:val="24"/>
              </w:rPr>
              <w:t>，并电话通知联系人（温广雄联系方式：18649979199），</w:t>
            </w:r>
            <w:r>
              <w:rPr>
                <w:rFonts w:hint="eastAsia" w:eastAsiaTheme="minorEastAsia" w:cstheme="minorEastAsia"/>
                <w:b/>
                <w:bCs/>
                <w:sz w:val="24"/>
                <w:szCs w:val="24"/>
              </w:rPr>
              <w:t>邮件名格式为：XXX公司（五个字以内公司简称</w:t>
            </w:r>
            <w:r>
              <w:rPr>
                <w:rFonts w:hint="eastAsia" w:eastAsiaTheme="minorEastAsia" w:cstheme="minorEastAsia"/>
                <w:b/>
                <w:bCs/>
                <w:color w:val="000000" w:themeColor="text1"/>
                <w:sz w:val="24"/>
                <w:szCs w:val="24"/>
                <w14:textFill>
                  <w14:solidFill>
                    <w14:schemeClr w14:val="tx1"/>
                  </w14:solidFill>
                </w14:textFill>
              </w:rPr>
              <w:t>）XX项目答疑文件。</w:t>
            </w:r>
            <w:r>
              <w:rPr>
                <w:rFonts w:hint="eastAsia" w:eastAsiaTheme="minorEastAsia" w:cstheme="minorEastAsia"/>
                <w:b/>
                <w:bCs/>
                <w:sz w:val="24"/>
                <w:szCs w:val="24"/>
              </w:rPr>
              <w:t>同时必须在邮件中以文字方式提供投标人全称、投标授权人姓名、联系方式（固定电话、手机、电子邮箱）。</w:t>
            </w:r>
          </w:p>
          <w:p>
            <w:pPr>
              <w:snapToGrid w:val="0"/>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注：招标文件商务部分为实质性条款，不响应视为无效投标。如果投标人对招标文件商务、技术部分有疑问，请各投标人在本答疑环节提出。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6</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领取答疑、澄清和修改文件时间：2023年</w:t>
            </w:r>
            <w:r>
              <w:rPr>
                <w:rFonts w:hint="eastAsia" w:eastAsiaTheme="minorEastAsia" w:cstheme="minorEastAsia"/>
                <w:sz w:val="24"/>
                <w:szCs w:val="24"/>
                <w:u w:val="single"/>
              </w:rPr>
              <w:t>11</w:t>
            </w:r>
            <w:r>
              <w:rPr>
                <w:rFonts w:hint="eastAsia" w:eastAsiaTheme="minorEastAsia" w:cstheme="minorEastAsia"/>
                <w:sz w:val="24"/>
                <w:szCs w:val="24"/>
              </w:rPr>
              <w:t>月</w:t>
            </w:r>
            <w:r>
              <w:rPr>
                <w:rFonts w:hint="eastAsia" w:eastAsiaTheme="minorEastAsia" w:cstheme="minorEastAsia"/>
                <w:sz w:val="24"/>
                <w:szCs w:val="24"/>
                <w:u w:val="single"/>
                <w:lang w:val="en-US" w:eastAsia="zh-CN"/>
              </w:rPr>
              <w:t>6</w:t>
            </w:r>
            <w:r>
              <w:rPr>
                <w:rFonts w:hint="eastAsia" w:eastAsiaTheme="minorEastAsia" w:cstheme="minorEastAsia"/>
                <w:sz w:val="24"/>
                <w:szCs w:val="24"/>
              </w:rPr>
              <w:t>日17时00分前；</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答疑、澄清和修改文件方式：招标人将以电子邮件的方式将招标文件的答疑澄清文件发送至投标报名时登记的电子邮箱。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9105" w:type="dxa"/>
            <w:gridSpan w:val="2"/>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b/>
                <w:bCs/>
                <w:sz w:val="24"/>
                <w:szCs w:val="24"/>
              </w:rPr>
            </w:pPr>
            <w:r>
              <w:rPr>
                <w:rFonts w:hint="eastAsia" w:eastAsiaTheme="minorEastAsia" w:cstheme="minorEastAsia"/>
                <w:b/>
                <w:bCs/>
                <w:sz w:val="24"/>
                <w:szCs w:val="24"/>
              </w:rPr>
              <w:t>投标文件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7</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“投标文件组成”详见“投标人须知”第9条。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8</w:t>
            </w:r>
          </w:p>
        </w:tc>
        <w:tc>
          <w:tcPr>
            <w:tcW w:w="8460" w:type="dxa"/>
            <w:tcBorders>
              <w:top w:val="single" w:color="auto" w:sz="2" w:space="0"/>
              <w:left w:val="single" w:color="auto" w:sz="2" w:space="0"/>
              <w:bottom w:val="single" w:color="auto" w:sz="2" w:space="0"/>
              <w:right w:val="single" w:color="auto" w:sz="2" w:space="0"/>
            </w:tcBorders>
            <w:vAlign w:val="center"/>
          </w:tcPr>
          <w:p>
            <w:pPr>
              <w:pStyle w:val="31"/>
              <w:spacing w:after="0" w:line="440" w:lineRule="exact"/>
              <w:ind w:firstLine="480" w:firstLineChars="200"/>
              <w:rPr>
                <w:rFonts w:ascii="Times New Roman" w:hAnsi="Times New Roman" w:cstheme="minorEastAsia"/>
                <w:sz w:val="24"/>
                <w:szCs w:val="24"/>
              </w:rPr>
            </w:pPr>
            <w:r>
              <w:rPr>
                <w:rFonts w:hint="eastAsia" w:ascii="Times New Roman" w:hAnsi="Times New Roman" w:cstheme="minorEastAsia"/>
                <w:sz w:val="24"/>
                <w:szCs w:val="24"/>
              </w:rPr>
              <w:t>投标文件份数：</w:t>
            </w:r>
          </w:p>
          <w:p>
            <w:pPr>
              <w:pStyle w:val="31"/>
              <w:spacing w:after="0" w:line="440" w:lineRule="exact"/>
              <w:ind w:firstLine="480" w:firstLineChars="200"/>
              <w:rPr>
                <w:rFonts w:ascii="Times New Roman" w:hAnsi="Times New Roman" w:cstheme="minorEastAsia"/>
                <w:sz w:val="24"/>
                <w:szCs w:val="24"/>
              </w:rPr>
            </w:pPr>
            <w:r>
              <w:rPr>
                <w:rFonts w:hint="eastAsia" w:ascii="Times New Roman" w:hAnsi="Times New Roman" w:cstheme="minorEastAsia"/>
                <w:sz w:val="24"/>
                <w:szCs w:val="24"/>
              </w:rPr>
              <w:t>8.1资质标标书、商务标标书各一式</w:t>
            </w:r>
            <w:r>
              <w:rPr>
                <w:rFonts w:hint="eastAsia" w:ascii="Times New Roman" w:hAnsi="Times New Roman" w:cstheme="minorEastAsia"/>
                <w:b/>
                <w:bCs/>
                <w:sz w:val="24"/>
                <w:szCs w:val="24"/>
              </w:rPr>
              <w:t>叁</w:t>
            </w:r>
            <w:r>
              <w:rPr>
                <w:rFonts w:hint="eastAsia" w:ascii="Times New Roman" w:hAnsi="Times New Roman" w:cstheme="minorEastAsia"/>
                <w:sz w:val="24"/>
                <w:szCs w:val="24"/>
              </w:rPr>
              <w:t>份，其中各正本一份副本</w:t>
            </w:r>
            <w:r>
              <w:rPr>
                <w:rFonts w:hint="eastAsia" w:ascii="Times New Roman" w:hAnsi="Times New Roman" w:cstheme="minorEastAsia"/>
                <w:b/>
                <w:bCs/>
                <w:sz w:val="24"/>
                <w:szCs w:val="24"/>
              </w:rPr>
              <w:t>贰</w:t>
            </w:r>
            <w:r>
              <w:rPr>
                <w:rFonts w:hint="eastAsia" w:ascii="Times New Roman" w:hAnsi="Times New Roman" w:cstheme="minorEastAsia"/>
                <w:sz w:val="24"/>
                <w:szCs w:val="24"/>
              </w:rPr>
              <w:t>份；</w:t>
            </w:r>
          </w:p>
          <w:p>
            <w:pPr>
              <w:pStyle w:val="31"/>
              <w:spacing w:after="0" w:line="440" w:lineRule="exact"/>
              <w:ind w:firstLine="480" w:firstLineChars="200"/>
              <w:rPr>
                <w:rFonts w:ascii="Times New Roman" w:hAnsi="Times New Roman" w:cstheme="minorEastAsia"/>
                <w:sz w:val="24"/>
                <w:szCs w:val="24"/>
              </w:rPr>
            </w:pPr>
            <w:r>
              <w:rPr>
                <w:rFonts w:hint="eastAsia" w:ascii="Times New Roman" w:hAnsi="Times New Roman" w:cstheme="minorEastAsia"/>
                <w:sz w:val="24"/>
                <w:szCs w:val="24"/>
              </w:rPr>
              <w:t>8.2电子标书一份；</w:t>
            </w:r>
            <w:r>
              <w:rPr>
                <w:rFonts w:hint="eastAsia" w:ascii="Times New Roman" w:hAnsi="Times New Roman" w:cstheme="minorEastAsia"/>
                <w:b/>
                <w:bCs/>
                <w:sz w:val="24"/>
                <w:szCs w:val="24"/>
              </w:rPr>
              <w:t>注明：电子标书一定要提供U盘（8G以上正规品牌），U盘内分别存入本次招标投标方所提供的电子版和PDF版，如有病毒造成设备损坏一切后果由投标方负责。不提供电子标书将不退还保证金</w:t>
            </w:r>
            <w:r>
              <w:rPr>
                <w:rFonts w:hint="eastAsia" w:ascii="Times New Roman" w:hAnsi="Times New Roman" w:cstheme="minorEastAsia"/>
                <w:bCs/>
                <w:sz w:val="24"/>
                <w:szCs w:val="24"/>
              </w:rPr>
              <w:t>（</w:t>
            </w:r>
            <w:r>
              <w:rPr>
                <w:rFonts w:hint="eastAsia" w:ascii="Times New Roman" w:hAnsi="Times New Roman" w:cstheme="minorEastAsia"/>
                <w:sz w:val="24"/>
                <w:szCs w:val="24"/>
              </w:rPr>
              <w:t>包含投标文件全部内容，</w:t>
            </w:r>
            <w:r>
              <w:rPr>
                <w:rFonts w:hint="eastAsia" w:ascii="Times New Roman" w:hAnsi="Times New Roman" w:cstheme="minorEastAsia"/>
                <w:b/>
                <w:bCs/>
                <w:sz w:val="24"/>
                <w:szCs w:val="24"/>
              </w:rPr>
              <w:t>PDF及word格式各一份</w:t>
            </w:r>
            <w:r>
              <w:rPr>
                <w:rFonts w:hint="eastAsia" w:ascii="Times New Roman" w:hAnsi="Times New Roman" w:cstheme="minorEastAsia"/>
                <w:bCs/>
                <w:sz w:val="24"/>
                <w:szCs w:val="24"/>
              </w:rPr>
              <w:t>）</w:t>
            </w:r>
            <w:r>
              <w:rPr>
                <w:rFonts w:hint="eastAsia" w:ascii="Times New Roman" w:hAnsi="Times New Roman" w:cstheme="minorEastAsia"/>
                <w:sz w:val="24"/>
                <w:szCs w:val="24"/>
              </w:rPr>
              <w:t>；</w:t>
            </w:r>
          </w:p>
          <w:p>
            <w:pPr>
              <w:pStyle w:val="31"/>
              <w:spacing w:after="0" w:line="440" w:lineRule="exact"/>
              <w:ind w:firstLine="480" w:firstLineChars="200"/>
              <w:rPr>
                <w:rFonts w:ascii="Times New Roman" w:hAnsi="Times New Roman" w:cstheme="minorEastAsia"/>
                <w:sz w:val="24"/>
                <w:szCs w:val="24"/>
              </w:rPr>
            </w:pPr>
            <w:r>
              <w:rPr>
                <w:rFonts w:hint="eastAsia" w:ascii="Times New Roman" w:hAnsi="Times New Roman" w:cstheme="minorEastAsia"/>
                <w:sz w:val="24"/>
                <w:szCs w:val="24"/>
              </w:rPr>
              <w:t>8.3报价一览表一式</w:t>
            </w:r>
            <w:r>
              <w:rPr>
                <w:rFonts w:hint="eastAsia" w:ascii="Times New Roman" w:hAnsi="Times New Roman" w:cstheme="minorEastAsia"/>
                <w:b/>
                <w:bCs/>
                <w:sz w:val="24"/>
                <w:szCs w:val="24"/>
              </w:rPr>
              <w:t>贰</w:t>
            </w:r>
            <w:r>
              <w:rPr>
                <w:rFonts w:hint="eastAsia" w:ascii="Times New Roman" w:hAnsi="Times New Roman" w:cstheme="minorEastAsia"/>
                <w:sz w:val="24"/>
                <w:szCs w:val="24"/>
              </w:rPr>
              <w:t>份；</w:t>
            </w:r>
          </w:p>
          <w:p>
            <w:pPr>
              <w:pStyle w:val="26"/>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8.4投标人须分别提供独立、完整的投标文件及其技术附件，各标书之间不得互相交叉或借用相关附件。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9</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9.1投标文件密封：</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①资质标书单独密封在一个包封内（正本和所有副本密封在一起，正本在最上）；</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②商务标书单独密封在一个包封内（正本和所有副本密封在一起，正本在最上）；</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③报价一览表一式两份单独密封在一个包封内；</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④电子标书一份（1个优盘）单独密封在一个小号包封内；</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将①、②、③、④统一放置在一个文件箱或文件袋（如打印纸盒）内。</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注意不允许将①、②、③、④封在一起。</w:t>
            </w:r>
          </w:p>
          <w:p>
            <w:pPr>
              <w:spacing w:line="440" w:lineRule="exact"/>
              <w:ind w:firstLine="482" w:firstLineChars="200"/>
              <w:rPr>
                <w:rFonts w:eastAsiaTheme="minorEastAsia" w:cstheme="minorEastAsia"/>
                <w:b/>
                <w:bCs/>
                <w:sz w:val="24"/>
                <w:szCs w:val="24"/>
              </w:rPr>
            </w:pPr>
            <w:r>
              <w:rPr>
                <w:rFonts w:hint="eastAsia" w:eastAsiaTheme="minorEastAsia" w:cstheme="minorEastAsia"/>
                <w:b/>
                <w:bCs/>
                <w:sz w:val="24"/>
                <w:szCs w:val="24"/>
              </w:rPr>
              <w:t>注意不按此要求密封标书的，投标文件做无效标处理。</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9.2投标文件的标记</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上述①②③④项对应的投标文件分项应分别在封面明显处注明以下内容：</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1) 项目编号、项目名称</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2)资质标书、报价一览表、电子版、商务标书</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3) 投标人名称（加盖公章）、地址、固定电话、授权人手机号</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4）每一密封件在封口处注明“于   年  月  日  时  分之前不准启封”字样。</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5）投标文件的装订：投标人必须将投标文件按照资质标书1册、商务标书1册分别进行胶装，各自不允许超过两册。</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资质标书和商务标书不单独装订的，投标文件做无效标处理。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10</w:t>
            </w:r>
          </w:p>
        </w:tc>
        <w:tc>
          <w:tcPr>
            <w:tcW w:w="8460" w:type="dxa"/>
            <w:tcBorders>
              <w:top w:val="single" w:color="auto" w:sz="2" w:space="0"/>
              <w:left w:val="single" w:color="auto" w:sz="2" w:space="0"/>
              <w:bottom w:val="single" w:color="auto" w:sz="2" w:space="0"/>
              <w:right w:val="single" w:color="auto" w:sz="2" w:space="0"/>
            </w:tcBorders>
            <w:vAlign w:val="center"/>
          </w:tcPr>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投标文件的盖章：</w:t>
            </w:r>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10.1所有要求法定代表人和授权代理人签字或盖章的地方都应用不褪色的黑色墨水签字由本人亲笔手写签字(包括姓和名)或盖章，不接受电子影印版签字，否则，按无效响应文件处理。</w:t>
            </w:r>
          </w:p>
          <w:p>
            <w:pPr>
              <w:spacing w:line="440" w:lineRule="exact"/>
              <w:ind w:firstLine="480" w:firstLineChars="200"/>
              <w:rPr>
                <w:rFonts w:eastAsiaTheme="minorEastAsia" w:cstheme="minorEastAsia"/>
                <w:bCs/>
                <w:sz w:val="24"/>
                <w:szCs w:val="24"/>
              </w:rPr>
            </w:pPr>
            <w:r>
              <w:rPr>
                <w:rFonts w:hint="eastAsia" w:eastAsiaTheme="minorEastAsia" w:cstheme="minorEastAsia"/>
                <w:sz w:val="24"/>
                <w:szCs w:val="24"/>
              </w:rPr>
              <w:t>10.2投标人在投标文件及相关文件的签订、履行、通知等事项书面文件中的“单位公章”、“公章”处均仅指与当事人名称全称相一致的标准公章，不得使用其他形式(如带有“专用章”、“合同章”、“财务章”、“业务章”等字样)的印章；否则，按无效响应文件处理。</w:t>
            </w:r>
          </w:p>
        </w:tc>
      </w:tr>
    </w:tbl>
    <w:p>
      <w:pPr>
        <w:spacing w:line="440" w:lineRule="exact"/>
        <w:jc w:val="center"/>
        <w:rPr>
          <w:rFonts w:eastAsiaTheme="minorEastAsia" w:cstheme="minorEastAsia"/>
          <w:b/>
          <w:bCs/>
          <w:sz w:val="24"/>
          <w:szCs w:val="24"/>
        </w:rPr>
      </w:pPr>
    </w:p>
    <w:tbl>
      <w:tblPr>
        <w:tblStyle w:val="77"/>
        <w:tblpPr w:leftFromText="180" w:rightFromText="180" w:vertAnchor="text" w:tblpXSpec="center" w:tblpY="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45"/>
        <w:gridCol w:w="36"/>
        <w:gridCol w:w="84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27"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b/>
                <w:bCs/>
                <w:sz w:val="24"/>
                <w:szCs w:val="24"/>
              </w:rPr>
            </w:pPr>
            <w:r>
              <w:rPr>
                <w:rFonts w:hint="eastAsia" w:eastAsiaTheme="minorEastAsia" w:cstheme="minorEastAsia"/>
                <w:b/>
                <w:bCs/>
                <w:sz w:val="24"/>
                <w:szCs w:val="24"/>
              </w:rPr>
              <w:t>投标保证金及投标有效期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345"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11</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482" w:firstLineChars="200"/>
              <w:rPr>
                <w:rFonts w:eastAsiaTheme="minorEastAsia" w:cstheme="minorEastAsia"/>
                <w:sz w:val="24"/>
                <w:szCs w:val="24"/>
              </w:rPr>
            </w:pPr>
            <w:r>
              <w:rPr>
                <w:rFonts w:hint="eastAsia" w:eastAsiaTheme="minorEastAsia" w:cstheme="minorEastAsia"/>
                <w:b/>
                <w:bCs/>
                <w:sz w:val="24"/>
                <w:szCs w:val="24"/>
              </w:rPr>
              <w:t>11.1投标保证金的形式</w:t>
            </w:r>
            <w:r>
              <w:rPr>
                <w:rFonts w:hint="eastAsia" w:eastAsiaTheme="minorEastAsia" w:cstheme="minorEastAsia"/>
                <w:sz w:val="24"/>
                <w:szCs w:val="24"/>
              </w:rPr>
              <w:t>：电汇，其他保证金形式不接受</w:t>
            </w:r>
            <w:r>
              <w:rPr>
                <w:rFonts w:hint="eastAsia" w:cs="宋体"/>
                <w:sz w:val="24"/>
                <w:szCs w:val="24"/>
                <w:lang w:bidi="ar"/>
              </w:rPr>
              <w:t>(需从投标人基本账户中转出)，</w:t>
            </w:r>
            <w:r>
              <w:rPr>
                <w:rFonts w:hint="eastAsia" w:eastAsiaTheme="minorEastAsia" w:cstheme="minorEastAsia"/>
                <w:sz w:val="24"/>
                <w:szCs w:val="24"/>
              </w:rPr>
              <w:t>电话通知招标人查收，联系人：温广雄  联系电话：18649979199。</w:t>
            </w:r>
          </w:p>
          <w:p>
            <w:pPr>
              <w:spacing w:line="420" w:lineRule="exact"/>
              <w:ind w:firstLine="482" w:firstLineChars="200"/>
              <w:rPr>
                <w:rFonts w:eastAsiaTheme="minorEastAsia" w:cstheme="minorEastAsia"/>
                <w:sz w:val="24"/>
                <w:szCs w:val="24"/>
              </w:rPr>
            </w:pPr>
            <w:r>
              <w:rPr>
                <w:rFonts w:hint="eastAsia" w:eastAsiaTheme="minorEastAsia" w:cstheme="minorEastAsia"/>
                <w:b/>
                <w:bCs/>
                <w:sz w:val="24"/>
                <w:szCs w:val="24"/>
              </w:rPr>
              <w:t>11.2投标保证金的金额：</w:t>
            </w:r>
            <w:r>
              <w:rPr>
                <w:rFonts w:hint="eastAsia"/>
                <w:sz w:val="24"/>
                <w:szCs w:val="24"/>
              </w:rPr>
              <w:t>人民币5,000.00元（伍仟元整）</w:t>
            </w:r>
          </w:p>
          <w:p>
            <w:pPr>
              <w:spacing w:line="420" w:lineRule="exact"/>
              <w:ind w:firstLine="482" w:firstLineChars="200"/>
              <w:rPr>
                <w:rFonts w:eastAsiaTheme="minorEastAsia" w:cstheme="minorEastAsia"/>
                <w:sz w:val="24"/>
                <w:szCs w:val="24"/>
              </w:rPr>
            </w:pPr>
            <w:r>
              <w:rPr>
                <w:rFonts w:hint="eastAsia" w:cs="宋体"/>
                <w:b/>
                <w:bCs/>
                <w:sz w:val="24"/>
                <w:szCs w:val="24"/>
                <w:lang w:bidi="ar"/>
              </w:rPr>
              <w:t>11.3投标保证金收款账户信息：</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11.3.1开户名称：中国重汽集团福建海西汽车有限公司</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11.3.2开户银行：中国银行永安支行</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11.3.3银行帐号：428658383219</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11.3.4财务电话：0598-3829986</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11.4保证金截止时间：2023年11月</w:t>
            </w:r>
            <w:r>
              <w:rPr>
                <w:rFonts w:hint="eastAsia" w:eastAsiaTheme="minorEastAsia" w:cstheme="minorEastAsia"/>
                <w:sz w:val="24"/>
                <w:szCs w:val="24"/>
                <w:lang w:val="en-US" w:eastAsia="zh-CN"/>
              </w:rPr>
              <w:t>10</w:t>
            </w:r>
            <w:r>
              <w:rPr>
                <w:rFonts w:hint="eastAsia" w:eastAsiaTheme="minorEastAsia" w:cstheme="minorEastAsia"/>
                <w:sz w:val="24"/>
                <w:szCs w:val="24"/>
              </w:rPr>
              <w:t>日17时00分前</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11.5投标人应充分考虑银行信息交换时间，由此带来的保证金不能按时到帐的责任由投标人自行承担。</w:t>
            </w:r>
          </w:p>
          <w:p>
            <w:pPr>
              <w:spacing w:line="420" w:lineRule="exact"/>
              <w:ind w:firstLine="482" w:firstLineChars="200"/>
              <w:rPr>
                <w:rFonts w:eastAsiaTheme="minorEastAsia" w:cstheme="minorEastAsia"/>
                <w:b/>
                <w:bCs/>
                <w:sz w:val="24"/>
                <w:szCs w:val="24"/>
              </w:rPr>
            </w:pPr>
            <w:r>
              <w:rPr>
                <w:rFonts w:hint="eastAsia" w:eastAsiaTheme="minorEastAsia" w:cstheme="minorEastAsia"/>
                <w:b/>
                <w:bCs/>
                <w:sz w:val="24"/>
                <w:szCs w:val="24"/>
              </w:rPr>
              <w:t>11.6说明：</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11.6.1招标人按照财务制度退款，在确定中标人后，按投标人（除中标人外）所提供的账户信息</w:t>
            </w:r>
            <w:r>
              <w:rPr>
                <w:rFonts w:hint="eastAsia" w:eastAsiaTheme="minorEastAsia" w:cstheme="minorEastAsia"/>
                <w:sz w:val="24"/>
                <w:szCs w:val="24"/>
                <w:lang w:val="en-US" w:eastAsia="zh-CN"/>
              </w:rPr>
              <w:t xml:space="preserve"> </w:t>
            </w:r>
            <w:r>
              <w:rPr>
                <w:rFonts w:hint="eastAsia" w:eastAsiaTheme="minorEastAsia" w:cstheme="minorEastAsia"/>
                <w:b/>
                <w:bCs/>
                <w:sz w:val="28"/>
                <w:szCs w:val="28"/>
              </w:rPr>
              <w:t>次月底退</w:t>
            </w:r>
            <w:r>
              <w:rPr>
                <w:rFonts w:hint="eastAsia" w:eastAsiaTheme="minorEastAsia" w:cstheme="minorEastAsia"/>
                <w:b/>
                <w:bCs/>
                <w:sz w:val="24"/>
                <w:szCs w:val="24"/>
                <w:lang w:val="en-US" w:eastAsia="zh-CN"/>
              </w:rPr>
              <w:t xml:space="preserve"> </w:t>
            </w:r>
            <w:r>
              <w:rPr>
                <w:rFonts w:hint="eastAsia" w:eastAsiaTheme="minorEastAsia" w:cstheme="minorEastAsia"/>
                <w:sz w:val="24"/>
                <w:szCs w:val="24"/>
              </w:rPr>
              <w:t>还投标保证金（本金，不计息），中标人投标保证转履约保证金，项目实施结束后招标人按照财务制度无息退款。</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11.6.2投标人在向招标人出示《投标保证金缴纳凭证》后方可进行投标。</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11.6.3发生以下情况时，招标人有权没收保证金：</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a）截至开标前3个工作日，投标人无正当理由且未以书面形式递交说明而在投标截止日不来投标的；</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b）投标人递送投标文件后，无正当理由放弃投标的；</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c）自中标通知书发出之日起10日内，中标人无正当理由不签订合同的；</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d）投标人在投标过程中被查实有串标、围标、陪标等违规违纪行为的；</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e）投标人有违约违规行为或被投诉、举报的，在调查处理期间，保证金暂不退还，待调查处理结束后按有关规定处理。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12</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523" w:firstLineChars="218"/>
              <w:rPr>
                <w:rFonts w:eastAsiaTheme="minorEastAsia" w:cstheme="minorEastAsia"/>
                <w:sz w:val="24"/>
                <w:szCs w:val="24"/>
              </w:rPr>
            </w:pPr>
            <w:r>
              <w:rPr>
                <w:rFonts w:hint="eastAsia" w:eastAsiaTheme="minorEastAsia" w:cstheme="minorEastAsia"/>
                <w:sz w:val="24"/>
                <w:szCs w:val="24"/>
              </w:rPr>
              <w:t>投标有效期：自开标之日起</w:t>
            </w:r>
            <w:r>
              <w:rPr>
                <w:rFonts w:hint="eastAsia" w:eastAsiaTheme="minorEastAsia" w:cstheme="minorEastAsia"/>
                <w:b/>
                <w:bCs/>
                <w:sz w:val="24"/>
                <w:szCs w:val="24"/>
                <w:u w:val="single"/>
              </w:rPr>
              <w:t>90</w:t>
            </w:r>
            <w:r>
              <w:rPr>
                <w:rFonts w:hint="eastAsia" w:eastAsiaTheme="minorEastAsia" w:cstheme="minorEastAsia"/>
                <w:sz w:val="24"/>
                <w:szCs w:val="24"/>
              </w:rPr>
              <w:t>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b/>
                <w:bCs/>
                <w:sz w:val="24"/>
                <w:szCs w:val="24"/>
              </w:rPr>
            </w:pPr>
            <w:r>
              <w:rPr>
                <w:rFonts w:hint="eastAsia" w:eastAsiaTheme="minorEastAsia" w:cstheme="minorEastAsia"/>
                <w:b/>
                <w:bCs/>
                <w:sz w:val="24"/>
                <w:szCs w:val="24"/>
              </w:rPr>
              <w:t>投标文件的递交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003" w:hRule="atLeast"/>
        </w:trPr>
        <w:tc>
          <w:tcPr>
            <w:tcW w:w="645" w:type="dxa"/>
            <w:vMerge w:val="restart"/>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13</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投标文件递交时间：2023年11月1</w:t>
            </w:r>
            <w:r>
              <w:rPr>
                <w:rFonts w:hint="eastAsia" w:eastAsiaTheme="minorEastAsia" w:cstheme="minorEastAsia"/>
                <w:sz w:val="24"/>
                <w:szCs w:val="24"/>
                <w:lang w:val="en-US" w:eastAsia="zh-CN"/>
              </w:rPr>
              <w:t>3</w:t>
            </w:r>
            <w:r>
              <w:rPr>
                <w:rFonts w:hint="eastAsia" w:eastAsiaTheme="minorEastAsia" w:cstheme="minorEastAsia"/>
                <w:sz w:val="24"/>
                <w:szCs w:val="24"/>
              </w:rPr>
              <w:t xml:space="preserve">日上午9:00（北京时间）；                  </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投标文件递交截止时间：</w:t>
            </w:r>
            <w:r>
              <w:rPr>
                <w:rFonts w:hint="eastAsia" w:eastAsiaTheme="minorEastAsia" w:cstheme="minorEastAsia"/>
                <w:b/>
                <w:bCs/>
                <w:sz w:val="24"/>
                <w:szCs w:val="24"/>
              </w:rPr>
              <w:t>2023年11月1</w:t>
            </w:r>
            <w:r>
              <w:rPr>
                <w:rFonts w:hint="eastAsia" w:eastAsiaTheme="minorEastAsia" w:cstheme="minorEastAsia"/>
                <w:b/>
                <w:bCs/>
                <w:sz w:val="24"/>
                <w:szCs w:val="24"/>
                <w:lang w:val="en-US" w:eastAsia="zh-CN"/>
              </w:rPr>
              <w:t>3</w:t>
            </w:r>
            <w:bookmarkStart w:id="513" w:name="_GoBack"/>
            <w:bookmarkEnd w:id="513"/>
            <w:r>
              <w:rPr>
                <w:rFonts w:hint="eastAsia" w:eastAsiaTheme="minorEastAsia" w:cstheme="minorEastAsia"/>
                <w:b/>
                <w:bCs/>
                <w:sz w:val="24"/>
                <w:szCs w:val="24"/>
              </w:rPr>
              <w:t>日上午9:00</w:t>
            </w:r>
            <w:r>
              <w:rPr>
                <w:rFonts w:hint="eastAsia" w:eastAsiaTheme="minorEastAsia" w:cstheme="minorEastAsia"/>
                <w:sz w:val="24"/>
                <w:szCs w:val="24"/>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43" w:hRule="atLeast"/>
        </w:trPr>
        <w:tc>
          <w:tcPr>
            <w:tcW w:w="645"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left"/>
              <w:rPr>
                <w:rFonts w:eastAsiaTheme="minorEastAsia" w:cstheme="minorEastAsia"/>
                <w:sz w:val="24"/>
                <w:szCs w:val="24"/>
              </w:rPr>
            </w:pP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投标文件递交地点：中国重汽集团福建海西汽车有限公司综合楼5楼507会议室（福建省永安市埔岭99号）。</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 xml:space="preserve">（暂定地点，请各投标人在开标前1-2天主动电话询问联系人是否有变化，以实际回复为准）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16"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b/>
                <w:bCs/>
                <w:sz w:val="24"/>
                <w:szCs w:val="24"/>
              </w:rPr>
            </w:pPr>
            <w:r>
              <w:rPr>
                <w:rFonts w:hint="eastAsia" w:eastAsiaTheme="minorEastAsia" w:cstheme="minorEastAsia"/>
                <w:b/>
                <w:bCs/>
                <w:sz w:val="24"/>
                <w:szCs w:val="24"/>
              </w:rPr>
              <w:t>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14</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523" w:firstLineChars="218"/>
              <w:rPr>
                <w:rFonts w:eastAsiaTheme="minorEastAsia" w:cstheme="minorEastAsia"/>
                <w:sz w:val="24"/>
                <w:szCs w:val="24"/>
              </w:rPr>
            </w:pPr>
            <w:r>
              <w:rPr>
                <w:rFonts w:hint="eastAsia" w:eastAsiaTheme="minorEastAsia" w:cstheme="minorEastAsia"/>
                <w:sz w:val="24"/>
                <w:szCs w:val="24"/>
              </w:rPr>
              <w:t>开标时间：</w:t>
            </w:r>
            <w:r>
              <w:rPr>
                <w:rFonts w:hint="eastAsia" w:eastAsiaTheme="minorEastAsia" w:cstheme="minorEastAsia"/>
                <w:kern w:val="0"/>
                <w:sz w:val="24"/>
                <w:szCs w:val="24"/>
              </w:rPr>
              <w:t>同投标文件递交截止时间。</w:t>
            </w:r>
          </w:p>
          <w:p>
            <w:pPr>
              <w:spacing w:line="420" w:lineRule="exact"/>
              <w:ind w:firstLine="523" w:firstLineChars="218"/>
              <w:rPr>
                <w:rFonts w:eastAsiaTheme="minorEastAsia" w:cstheme="minorEastAsia"/>
                <w:sz w:val="24"/>
                <w:szCs w:val="24"/>
              </w:rPr>
            </w:pPr>
            <w:r>
              <w:rPr>
                <w:rFonts w:hint="eastAsia" w:eastAsiaTheme="minorEastAsia" w:cstheme="minorEastAsia"/>
                <w:sz w:val="24"/>
                <w:szCs w:val="24"/>
              </w:rPr>
              <w:t>开标地点：同投标文件递交地点。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0"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b/>
                <w:sz w:val="24"/>
                <w:szCs w:val="24"/>
              </w:rPr>
            </w:pPr>
            <w:r>
              <w:rPr>
                <w:rFonts w:hint="eastAsia" w:eastAsiaTheme="minorEastAsia" w:cstheme="minorEastAsia"/>
                <w:b/>
                <w:sz w:val="24"/>
                <w:szCs w:val="24"/>
              </w:rPr>
              <w:t>评标委员会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81"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15</w:t>
            </w:r>
          </w:p>
        </w:tc>
        <w:tc>
          <w:tcPr>
            <w:tcW w:w="8424" w:type="dxa"/>
            <w:tcBorders>
              <w:top w:val="single" w:color="auto" w:sz="2" w:space="0"/>
              <w:left w:val="single" w:color="auto" w:sz="2"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评标委员会组成：招标人将根据本项目的特点组建评标委员会，其成员由有关技术、经济方面专家和招标人代表等三人或以上单数组成，其中经济、技术等方面的专家不得少于成员总数的三分之二。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81"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16</w:t>
            </w:r>
          </w:p>
        </w:tc>
        <w:tc>
          <w:tcPr>
            <w:tcW w:w="8424" w:type="dxa"/>
            <w:tcBorders>
              <w:top w:val="single" w:color="auto" w:sz="2" w:space="0"/>
              <w:left w:val="single" w:color="auto" w:sz="2"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评标方法：资格全满足情况下，选择最低价中标。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b/>
                <w:bCs/>
                <w:sz w:val="24"/>
                <w:szCs w:val="24"/>
              </w:rPr>
              <w:t>授予合同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17</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523" w:firstLineChars="218"/>
              <w:rPr>
                <w:rFonts w:eastAsiaTheme="minorEastAsia" w:cstheme="minorEastAsia"/>
                <w:sz w:val="24"/>
                <w:szCs w:val="24"/>
              </w:rPr>
            </w:pPr>
            <w:r>
              <w:rPr>
                <w:rFonts w:hint="eastAsia" w:eastAsiaTheme="minorEastAsia" w:cstheme="minorEastAsia"/>
                <w:sz w:val="24"/>
                <w:szCs w:val="24"/>
              </w:rPr>
              <w:t>在向投标人授予中标通知书时，招标人有权变更数量和服务的内容。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b/>
                <w:bCs/>
                <w:sz w:val="24"/>
                <w:szCs w:val="24"/>
              </w:rPr>
              <w:t>相关费用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91"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18</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pStyle w:val="26"/>
              <w:spacing w:line="420" w:lineRule="exact"/>
              <w:jc w:val="center"/>
              <w:rPr>
                <w:rFonts w:eastAsiaTheme="minorEastAsia" w:cstheme="minorEastAsia"/>
                <w:sz w:val="24"/>
                <w:szCs w:val="24"/>
              </w:rPr>
            </w:pPr>
            <w:r>
              <w:rPr>
                <w:rFonts w:hint="eastAsia" w:eastAsiaTheme="minorEastAsia" w:cstheme="minorEastAsia"/>
                <w:sz w:val="24"/>
                <w:szCs w:val="24"/>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b/>
                <w:bCs/>
                <w:sz w:val="24"/>
                <w:szCs w:val="24"/>
              </w:rPr>
            </w:pPr>
            <w:r>
              <w:rPr>
                <w:rFonts w:hint="eastAsia" w:eastAsiaTheme="minorEastAsia" w:cstheme="minorEastAsia"/>
                <w:b/>
                <w:bCs/>
                <w:sz w:val="24"/>
                <w:szCs w:val="24"/>
              </w:rPr>
              <w:t>交货期及付款方式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eastAsiaTheme="minorEastAsia" w:cstheme="minorEastAsia"/>
                <w:sz w:val="24"/>
                <w:szCs w:val="24"/>
              </w:rPr>
            </w:pPr>
            <w:r>
              <w:rPr>
                <w:rFonts w:hint="eastAsia" w:eastAsiaTheme="minorEastAsia" w:cstheme="minorEastAsia"/>
                <w:sz w:val="24"/>
                <w:szCs w:val="24"/>
              </w:rPr>
              <w:t>19</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spacing w:line="420" w:lineRule="exact"/>
              <w:ind w:firstLine="482" w:firstLineChars="200"/>
              <w:rPr>
                <w:rFonts w:eastAsiaTheme="minorEastAsia" w:cstheme="minorEastAsia"/>
                <w:b/>
                <w:bCs/>
                <w:sz w:val="24"/>
                <w:szCs w:val="24"/>
              </w:rPr>
            </w:pPr>
            <w:r>
              <w:rPr>
                <w:rFonts w:hint="eastAsia" w:eastAsiaTheme="minorEastAsia" w:cstheme="minorEastAsia"/>
                <w:b/>
                <w:bCs/>
                <w:sz w:val="24"/>
                <w:szCs w:val="24"/>
              </w:rPr>
              <w:t>交货期：</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自接到中标通知起，</w:t>
            </w:r>
            <w:r>
              <w:rPr>
                <w:rFonts w:eastAsiaTheme="minorEastAsia" w:cstheme="minorEastAsia"/>
                <w:sz w:val="24"/>
                <w:szCs w:val="24"/>
              </w:rPr>
              <w:t>9</w:t>
            </w:r>
            <w:r>
              <w:rPr>
                <w:rFonts w:hint="eastAsia" w:eastAsiaTheme="minorEastAsia" w:cstheme="minorEastAsia"/>
                <w:sz w:val="24"/>
                <w:szCs w:val="24"/>
              </w:rPr>
              <w:t>0个日历日之内交货至供货地点,并满足生产使用条件。（投标人可在满足上述总工期最短时间基础上竞报）</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接续10个日历日之内安装调试完毕。</w:t>
            </w:r>
          </w:p>
          <w:p>
            <w:pPr>
              <w:spacing w:line="420" w:lineRule="exact"/>
              <w:ind w:firstLine="480" w:firstLineChars="200"/>
            </w:pPr>
            <w:r>
              <w:rPr>
                <w:rFonts w:hint="eastAsia" w:eastAsiaTheme="minorEastAsia" w:cstheme="minorEastAsia"/>
                <w:sz w:val="24"/>
                <w:szCs w:val="24"/>
              </w:rPr>
              <w:t>接续30个日历日之内完成终验收。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45"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eastAsiaTheme="minorEastAsia" w:cstheme="minorEastAsia"/>
                <w:sz w:val="24"/>
                <w:szCs w:val="24"/>
              </w:rPr>
            </w:pPr>
            <w:r>
              <w:rPr>
                <w:rFonts w:hint="eastAsia" w:eastAsiaTheme="minorEastAsia" w:cstheme="minorEastAsia"/>
                <w:sz w:val="24"/>
                <w:szCs w:val="24"/>
              </w:rPr>
              <w:t>20</w:t>
            </w:r>
          </w:p>
        </w:tc>
        <w:tc>
          <w:tcPr>
            <w:tcW w:w="8460" w:type="dxa"/>
            <w:gridSpan w:val="2"/>
            <w:tcBorders>
              <w:top w:val="single" w:color="auto" w:sz="2" w:space="0"/>
              <w:left w:val="single" w:color="auto" w:sz="2" w:space="0"/>
              <w:bottom w:val="single" w:color="auto" w:sz="2" w:space="0"/>
              <w:right w:val="single" w:color="auto" w:sz="2" w:space="0"/>
            </w:tcBorders>
            <w:vAlign w:val="center"/>
          </w:tcPr>
          <w:p>
            <w:pPr>
              <w:pStyle w:val="26"/>
              <w:spacing w:line="420" w:lineRule="exact"/>
              <w:ind w:firstLine="482" w:firstLineChars="200"/>
              <w:rPr>
                <w:rFonts w:eastAsiaTheme="minorEastAsia" w:cstheme="minorEastAsia"/>
                <w:b/>
                <w:sz w:val="24"/>
                <w:szCs w:val="24"/>
              </w:rPr>
            </w:pPr>
            <w:r>
              <w:rPr>
                <w:rFonts w:hint="eastAsia" w:eastAsiaTheme="minorEastAsia" w:cstheme="minorEastAsia"/>
                <w:b/>
                <w:sz w:val="24"/>
                <w:szCs w:val="24"/>
              </w:rPr>
              <w:t>质保期：整机自设备验收文件最终签署之日起</w:t>
            </w:r>
            <w:r>
              <w:rPr>
                <w:rFonts w:eastAsiaTheme="minorEastAsia" w:cstheme="minorEastAsia"/>
                <w:b/>
                <w:sz w:val="24"/>
                <w:szCs w:val="24"/>
              </w:rPr>
              <w:t>2</w:t>
            </w:r>
            <w:r>
              <w:rPr>
                <w:rFonts w:hint="eastAsia" w:eastAsiaTheme="minorEastAsia" w:cstheme="minorEastAsia"/>
                <w:b/>
                <w:sz w:val="24"/>
                <w:szCs w:val="24"/>
              </w:rPr>
              <w:t>年。（投标人可在满足上述最短质保期基础上竞报）</w:t>
            </w:r>
            <w:r>
              <w:rPr>
                <w:rFonts w:hint="eastAsia" w:eastAsiaTheme="minorEastAsia" w:cstheme="minorEastAsia"/>
                <w:b/>
                <w:sz w:val="24"/>
                <w:szCs w:val="24"/>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60" w:hRule="atLeast"/>
        </w:trPr>
        <w:tc>
          <w:tcPr>
            <w:tcW w:w="645" w:type="dxa"/>
            <w:tcBorders>
              <w:top w:val="single" w:color="auto" w:sz="2" w:space="0"/>
              <w:left w:val="single" w:color="auto" w:sz="2" w:space="0"/>
              <w:bottom w:val="single" w:color="auto" w:sz="2" w:space="0"/>
              <w:right w:val="single" w:color="auto" w:sz="4" w:space="0"/>
            </w:tcBorders>
            <w:vAlign w:val="center"/>
          </w:tcPr>
          <w:p>
            <w:pPr>
              <w:spacing w:line="440" w:lineRule="exact"/>
              <w:jc w:val="center"/>
              <w:rPr>
                <w:rFonts w:eastAsiaTheme="minorEastAsia" w:cstheme="minorEastAsia"/>
                <w:kern w:val="0"/>
                <w:sz w:val="24"/>
                <w:szCs w:val="24"/>
              </w:rPr>
            </w:pPr>
            <w:r>
              <w:rPr>
                <w:rFonts w:hint="eastAsia" w:eastAsiaTheme="minorEastAsia" w:cstheme="minorEastAsia"/>
                <w:kern w:val="0"/>
                <w:sz w:val="24"/>
                <w:szCs w:val="24"/>
              </w:rPr>
              <w:t>21</w:t>
            </w:r>
          </w:p>
        </w:tc>
        <w:tc>
          <w:tcPr>
            <w:tcW w:w="8460" w:type="dxa"/>
            <w:gridSpan w:val="2"/>
            <w:tcBorders>
              <w:top w:val="single" w:color="auto" w:sz="2" w:space="0"/>
              <w:left w:val="single" w:color="auto" w:sz="4" w:space="0"/>
              <w:bottom w:val="single" w:color="auto" w:sz="2" w:space="0"/>
              <w:right w:val="single" w:color="auto" w:sz="2" w:space="0"/>
            </w:tcBorders>
            <w:vAlign w:val="center"/>
          </w:tcPr>
          <w:p>
            <w:pPr>
              <w:spacing w:line="420" w:lineRule="exact"/>
              <w:ind w:firstLine="482" w:firstLineChars="200"/>
              <w:rPr>
                <w:rFonts w:eastAsiaTheme="minorEastAsia" w:cstheme="minorEastAsia"/>
                <w:b/>
                <w:bCs/>
                <w:sz w:val="24"/>
                <w:szCs w:val="24"/>
              </w:rPr>
            </w:pPr>
            <w:r>
              <w:rPr>
                <w:rFonts w:hint="eastAsia" w:eastAsiaTheme="minorEastAsia" w:cstheme="minorEastAsia"/>
                <w:b/>
                <w:bCs/>
                <w:sz w:val="24"/>
                <w:szCs w:val="24"/>
              </w:rPr>
              <w:t>合同价款的支付：</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21.1付款结算方式：半年期商业汇票（银行承兑汇票或商业承兑汇票）。</w:t>
            </w:r>
          </w:p>
          <w:p>
            <w:pPr>
              <w:spacing w:line="4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21.2合同生效后, 中标方提交金额为合同价款30 %的收据及相应金额的增值税专用发票（税率6%,正本一份，复印件二份），经招标方依照财务制度审核无误后月底支付。</w:t>
            </w:r>
          </w:p>
          <w:p>
            <w:pPr>
              <w:spacing w:line="4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21.3设备全部到齐，经安装、调试最终验收合格后，中标人提交金额为合同价款70%的收据及合同总额剩余未开部分的增值税专用发票（税率6%,正本一份，复印件二份）并附带该套合同设备最终验收报告的原件及其复印件两份，经招标人依照财务制度审核无误后，月底支付合同总价款60%的验收款。</w:t>
            </w:r>
          </w:p>
          <w:p>
            <w:pPr>
              <w:spacing w:line="420" w:lineRule="exact"/>
              <w:ind w:firstLine="480" w:firstLineChars="200"/>
              <w:rPr>
                <w:rFonts w:eastAsiaTheme="minorEastAsia" w:cstheme="minorEastAsia"/>
                <w:sz w:val="24"/>
                <w:szCs w:val="24"/>
              </w:rPr>
            </w:pPr>
            <w:r>
              <w:rPr>
                <w:rFonts w:hint="eastAsia" w:asciiTheme="minorEastAsia" w:hAnsiTheme="minorEastAsia" w:eastAsiaTheme="minorEastAsia" w:cstheme="minorEastAsia"/>
                <w:sz w:val="24"/>
                <w:szCs w:val="24"/>
              </w:rPr>
              <w:t>21.4合同总价款的 10 %作为本合同约定设备的质量保证金，质量保证金在质量保证期内不计利息。待每套合同设备质量保证期满后，</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rPr>
              <w:t>方向</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方提交金额为合同总价款10%的收据（正本一份，复印件二份）及设备使用单位或设备管理单位的使用情况说明，经</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方依照财务制度审核无误后，</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方当月履行财务流程。如有质量问题，质量保证金予以相应扣除。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16"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pPr>
              <w:spacing w:line="420" w:lineRule="exact"/>
              <w:ind w:firstLine="482" w:firstLineChars="200"/>
              <w:jc w:val="center"/>
              <w:rPr>
                <w:rFonts w:eastAsiaTheme="minorEastAsia" w:cstheme="minorEastAsia"/>
                <w:sz w:val="24"/>
                <w:szCs w:val="24"/>
              </w:rPr>
            </w:pPr>
            <w:r>
              <w:rPr>
                <w:rFonts w:hint="eastAsia" w:eastAsiaTheme="minorEastAsia" w:cstheme="minorEastAsia"/>
                <w:b/>
                <w:bCs/>
                <w:sz w:val="24"/>
                <w:szCs w:val="24"/>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60" w:hRule="atLeast"/>
        </w:trPr>
        <w:tc>
          <w:tcPr>
            <w:tcW w:w="645" w:type="dxa"/>
            <w:tcBorders>
              <w:top w:val="single" w:color="auto" w:sz="2" w:space="0"/>
              <w:left w:val="single" w:color="auto" w:sz="2" w:space="0"/>
              <w:bottom w:val="single" w:color="auto" w:sz="2" w:space="0"/>
              <w:right w:val="single" w:color="auto" w:sz="4" w:space="0"/>
            </w:tcBorders>
            <w:vAlign w:val="center"/>
          </w:tcPr>
          <w:p>
            <w:pPr>
              <w:spacing w:line="440" w:lineRule="exact"/>
              <w:jc w:val="center"/>
              <w:rPr>
                <w:rFonts w:eastAsiaTheme="minorEastAsia" w:cstheme="minorEastAsia"/>
                <w:kern w:val="0"/>
                <w:sz w:val="24"/>
                <w:szCs w:val="24"/>
              </w:rPr>
            </w:pPr>
            <w:r>
              <w:rPr>
                <w:rFonts w:hint="eastAsia" w:eastAsiaTheme="minorEastAsia" w:cstheme="minorEastAsia"/>
                <w:kern w:val="0"/>
                <w:sz w:val="24"/>
                <w:szCs w:val="24"/>
              </w:rPr>
              <w:t>22</w:t>
            </w:r>
          </w:p>
        </w:tc>
        <w:tc>
          <w:tcPr>
            <w:tcW w:w="8460" w:type="dxa"/>
            <w:gridSpan w:val="2"/>
            <w:tcBorders>
              <w:top w:val="single" w:color="auto" w:sz="2" w:space="0"/>
              <w:left w:val="single" w:color="auto" w:sz="4"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设备的安装说明（图纸）、操作手册、使用说明、维修指南、服务手册等招标人所需要的、与执行本合同有关的各类资料，中标人提交时须做好备份（复印件或电子扫描件），招标人资料归档后若另需要上述资料，中标人应及时无偿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60" w:hRule="atLeast"/>
        </w:trPr>
        <w:tc>
          <w:tcPr>
            <w:tcW w:w="645" w:type="dxa"/>
            <w:tcBorders>
              <w:top w:val="single" w:color="auto" w:sz="2" w:space="0"/>
              <w:left w:val="single" w:color="auto" w:sz="2" w:space="0"/>
              <w:bottom w:val="single" w:color="auto" w:sz="2" w:space="0"/>
              <w:right w:val="single" w:color="auto" w:sz="4" w:space="0"/>
            </w:tcBorders>
            <w:vAlign w:val="center"/>
          </w:tcPr>
          <w:p>
            <w:pPr>
              <w:spacing w:line="440" w:lineRule="exact"/>
              <w:jc w:val="center"/>
              <w:rPr>
                <w:rFonts w:eastAsiaTheme="minorEastAsia" w:cstheme="minorEastAsia"/>
                <w:kern w:val="0"/>
                <w:sz w:val="24"/>
                <w:szCs w:val="24"/>
              </w:rPr>
            </w:pPr>
            <w:r>
              <w:rPr>
                <w:rFonts w:hint="eastAsia" w:eastAsiaTheme="minorEastAsia" w:cstheme="minorEastAsia"/>
                <w:kern w:val="0"/>
                <w:sz w:val="24"/>
                <w:szCs w:val="24"/>
              </w:rPr>
              <w:t>23</w:t>
            </w:r>
          </w:p>
        </w:tc>
        <w:tc>
          <w:tcPr>
            <w:tcW w:w="8460" w:type="dxa"/>
            <w:gridSpan w:val="2"/>
            <w:tcBorders>
              <w:top w:val="single" w:color="auto" w:sz="2" w:space="0"/>
              <w:left w:val="single" w:color="auto" w:sz="4" w:space="0"/>
              <w:bottom w:val="single" w:color="auto" w:sz="2" w:space="0"/>
              <w:right w:val="single" w:color="auto" w:sz="2" w:space="0"/>
            </w:tcBorders>
            <w:vAlign w:val="center"/>
          </w:tcPr>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中标人负责为招标人免费培训操作及维修人员，培训内容包括：基本原理、操作使用、安全操作注意事项以及维修保养等内容，直至达到买方使用需求。</w:t>
            </w:r>
          </w:p>
        </w:tc>
      </w:tr>
    </w:tbl>
    <w:p>
      <w:pPr>
        <w:pStyle w:val="12"/>
        <w:tabs>
          <w:tab w:val="left" w:pos="1146"/>
        </w:tabs>
        <w:spacing w:line="500" w:lineRule="exact"/>
        <w:ind w:left="108" w:leftChars="4" w:hanging="100" w:firstLineChars="0"/>
        <w:jc w:val="center"/>
        <w:rPr>
          <w:rFonts w:cs="宋体"/>
          <w:b/>
          <w:bCs/>
          <w:sz w:val="44"/>
          <w:szCs w:val="44"/>
        </w:rPr>
        <w:sectPr>
          <w:footerReference r:id="rId6" w:type="default"/>
          <w:pgSz w:w="11907" w:h="16840"/>
          <w:pgMar w:top="1702" w:right="1418" w:bottom="1418" w:left="1418" w:header="851" w:footer="822" w:gutter="0"/>
          <w:pgNumType w:start="1"/>
          <w:cols w:space="720" w:num="1"/>
          <w:docGrid w:linePitch="290" w:charSpace="-3931"/>
        </w:sectPr>
      </w:pPr>
    </w:p>
    <w:bookmarkEnd w:id="24"/>
    <w:p>
      <w:pPr>
        <w:pStyle w:val="4"/>
        <w:numPr>
          <w:ilvl w:val="0"/>
          <w:numId w:val="0"/>
        </w:numPr>
        <w:spacing w:before="0" w:after="0" w:line="440" w:lineRule="exact"/>
        <w:jc w:val="center"/>
        <w:rPr>
          <w:rFonts w:ascii="Times New Roman" w:hAnsi="Times New Roman" w:eastAsia="宋体" w:cs="宋体"/>
          <w:sz w:val="28"/>
          <w:szCs w:val="28"/>
        </w:rPr>
      </w:pPr>
      <w:bookmarkStart w:id="25" w:name="_Toc29697"/>
      <w:bookmarkStart w:id="26" w:name="_Toc49503544"/>
      <w:bookmarkStart w:id="27" w:name="_Toc29232"/>
      <w:bookmarkStart w:id="28" w:name="_Toc16988"/>
      <w:r>
        <w:rPr>
          <w:rFonts w:hint="eastAsia" w:ascii="Times New Roman" w:hAnsi="Times New Roman" w:eastAsia="宋体" w:cs="宋体"/>
          <w:sz w:val="28"/>
          <w:szCs w:val="28"/>
        </w:rPr>
        <w:t>一、说明</w:t>
      </w:r>
      <w:bookmarkEnd w:id="25"/>
      <w:bookmarkEnd w:id="26"/>
      <w:bookmarkEnd w:id="27"/>
      <w:bookmarkEnd w:id="28"/>
    </w:p>
    <w:p>
      <w:pPr>
        <w:spacing w:line="420" w:lineRule="exact"/>
        <w:ind w:firstLine="482" w:firstLineChars="200"/>
        <w:rPr>
          <w:rFonts w:eastAsiaTheme="minorEastAsia" w:cstheme="minorEastAsia"/>
          <w:b/>
          <w:bCs/>
          <w:sz w:val="24"/>
          <w:szCs w:val="24"/>
        </w:rPr>
      </w:pPr>
      <w:bookmarkStart w:id="29" w:name="_Toc352332851"/>
      <w:bookmarkStart w:id="30" w:name="_Toc346306730"/>
      <w:bookmarkStart w:id="31" w:name="_Toc346372877"/>
      <w:bookmarkStart w:id="32" w:name="_Toc29701"/>
      <w:r>
        <w:rPr>
          <w:rFonts w:hint="eastAsia" w:eastAsiaTheme="minorEastAsia" w:cstheme="minorEastAsia"/>
          <w:b/>
          <w:bCs/>
          <w:sz w:val="24"/>
          <w:szCs w:val="24"/>
        </w:rPr>
        <w:t>1.</w:t>
      </w:r>
      <w:bookmarkEnd w:id="29"/>
      <w:bookmarkEnd w:id="30"/>
      <w:bookmarkEnd w:id="31"/>
      <w:r>
        <w:rPr>
          <w:rFonts w:hint="eastAsia" w:eastAsiaTheme="minorEastAsia" w:cstheme="minorEastAsia"/>
          <w:b/>
          <w:bCs/>
          <w:sz w:val="24"/>
          <w:szCs w:val="24"/>
        </w:rPr>
        <w:t>招标人</w:t>
      </w:r>
      <w:bookmarkEnd w:id="32"/>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详见投标人须知前附表第2项。</w:t>
      </w:r>
    </w:p>
    <w:p>
      <w:pPr>
        <w:spacing w:line="420" w:lineRule="exact"/>
        <w:ind w:firstLine="482" w:firstLineChars="200"/>
        <w:rPr>
          <w:rFonts w:eastAsiaTheme="minorEastAsia" w:cstheme="minorEastAsia"/>
          <w:b/>
          <w:bCs/>
          <w:sz w:val="24"/>
          <w:szCs w:val="24"/>
        </w:rPr>
      </w:pPr>
      <w:bookmarkStart w:id="33" w:name="_Toc352332852"/>
      <w:bookmarkStart w:id="34" w:name="_Toc346372878"/>
      <w:bookmarkStart w:id="35" w:name="_Toc346306731"/>
      <w:bookmarkStart w:id="36" w:name="_Toc20346"/>
      <w:r>
        <w:rPr>
          <w:rFonts w:hint="eastAsia" w:eastAsiaTheme="minorEastAsia" w:cstheme="minorEastAsia"/>
          <w:b/>
          <w:bCs/>
          <w:sz w:val="24"/>
          <w:szCs w:val="24"/>
        </w:rPr>
        <w:t>2.</w:t>
      </w:r>
      <w:bookmarkEnd w:id="33"/>
      <w:bookmarkEnd w:id="34"/>
      <w:bookmarkEnd w:id="35"/>
      <w:r>
        <w:rPr>
          <w:rFonts w:hint="eastAsia" w:eastAsiaTheme="minorEastAsia" w:cstheme="minorEastAsia"/>
          <w:b/>
          <w:bCs/>
          <w:sz w:val="24"/>
          <w:szCs w:val="24"/>
        </w:rPr>
        <w:t>代理机构</w:t>
      </w:r>
      <w:bookmarkEnd w:id="36"/>
    </w:p>
    <w:p>
      <w:pPr>
        <w:spacing w:line="420" w:lineRule="exact"/>
        <w:ind w:firstLine="480" w:firstLineChars="200"/>
        <w:rPr>
          <w:rFonts w:eastAsiaTheme="minorEastAsia" w:cstheme="minorEastAsia"/>
          <w:sz w:val="24"/>
          <w:szCs w:val="24"/>
        </w:rPr>
      </w:pPr>
      <w:bookmarkStart w:id="37" w:name="_Toc346306732"/>
      <w:bookmarkStart w:id="38" w:name="_Toc346372879"/>
      <w:bookmarkStart w:id="39" w:name="_Toc352332853"/>
      <w:r>
        <w:rPr>
          <w:rFonts w:hint="eastAsia" w:eastAsiaTheme="minorEastAsia" w:cstheme="minorEastAsia"/>
          <w:sz w:val="24"/>
          <w:szCs w:val="24"/>
        </w:rPr>
        <w:t>无。</w:t>
      </w:r>
    </w:p>
    <w:p>
      <w:pPr>
        <w:spacing w:line="420" w:lineRule="exact"/>
        <w:ind w:firstLine="482" w:firstLineChars="200"/>
        <w:rPr>
          <w:rFonts w:eastAsiaTheme="minorEastAsia" w:cstheme="minorEastAsia"/>
          <w:b/>
          <w:bCs/>
          <w:sz w:val="24"/>
          <w:szCs w:val="24"/>
        </w:rPr>
      </w:pPr>
      <w:bookmarkStart w:id="40" w:name="_Toc7867"/>
      <w:r>
        <w:rPr>
          <w:rFonts w:hint="eastAsia" w:eastAsiaTheme="minorEastAsia" w:cstheme="minorEastAsia"/>
          <w:b/>
          <w:bCs/>
          <w:sz w:val="24"/>
          <w:szCs w:val="24"/>
        </w:rPr>
        <w:t>3.合格</w:t>
      </w:r>
      <w:bookmarkEnd w:id="37"/>
      <w:bookmarkEnd w:id="38"/>
      <w:bookmarkEnd w:id="39"/>
      <w:r>
        <w:rPr>
          <w:rFonts w:hint="eastAsia" w:eastAsiaTheme="minorEastAsia" w:cstheme="minorEastAsia"/>
          <w:b/>
          <w:bCs/>
          <w:sz w:val="24"/>
          <w:szCs w:val="24"/>
        </w:rPr>
        <w:t>的投标人</w:t>
      </w:r>
      <w:bookmarkEnd w:id="40"/>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详见投标人须知前附表第4项。</w:t>
      </w:r>
    </w:p>
    <w:p>
      <w:pPr>
        <w:spacing w:line="420" w:lineRule="exact"/>
        <w:ind w:firstLine="482" w:firstLineChars="200"/>
        <w:rPr>
          <w:rFonts w:eastAsiaTheme="minorEastAsia" w:cstheme="minorEastAsia"/>
          <w:b/>
          <w:bCs/>
          <w:sz w:val="24"/>
          <w:szCs w:val="24"/>
        </w:rPr>
      </w:pPr>
      <w:bookmarkStart w:id="41" w:name="_Toc346372880"/>
      <w:bookmarkStart w:id="42" w:name="_Toc346306733"/>
      <w:bookmarkStart w:id="43" w:name="_Toc13128"/>
      <w:bookmarkStart w:id="44" w:name="_Toc352332854"/>
      <w:r>
        <w:rPr>
          <w:rFonts w:hint="eastAsia" w:eastAsiaTheme="minorEastAsia" w:cstheme="minorEastAsia"/>
          <w:b/>
          <w:bCs/>
          <w:sz w:val="24"/>
          <w:szCs w:val="24"/>
        </w:rPr>
        <w:t>4.投标费用</w:t>
      </w:r>
      <w:bookmarkEnd w:id="41"/>
      <w:bookmarkEnd w:id="42"/>
      <w:bookmarkEnd w:id="43"/>
      <w:bookmarkEnd w:id="44"/>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无论投标过程中的方法和结果如何，投标人自行承担所有与参加招标有关费用。</w:t>
      </w:r>
    </w:p>
    <w:p>
      <w:pPr>
        <w:pStyle w:val="4"/>
        <w:numPr>
          <w:ilvl w:val="0"/>
          <w:numId w:val="0"/>
        </w:numPr>
        <w:spacing w:before="0" w:after="0" w:line="440" w:lineRule="exact"/>
        <w:jc w:val="center"/>
        <w:rPr>
          <w:rFonts w:ascii="Times New Roman" w:hAnsi="Times New Roman" w:eastAsia="宋体" w:cs="宋体"/>
          <w:sz w:val="28"/>
          <w:szCs w:val="28"/>
        </w:rPr>
      </w:pPr>
      <w:bookmarkStart w:id="45" w:name="_Toc14627"/>
      <w:bookmarkStart w:id="46" w:name="_Toc11442"/>
      <w:bookmarkStart w:id="47" w:name="_Toc51786886"/>
      <w:bookmarkStart w:id="48" w:name="_Toc49503545"/>
      <w:bookmarkStart w:id="49" w:name="_Toc31637"/>
      <w:r>
        <w:rPr>
          <w:rFonts w:hint="eastAsia" w:ascii="Times New Roman" w:hAnsi="Times New Roman" w:eastAsia="宋体" w:cs="宋体"/>
          <w:sz w:val="28"/>
          <w:szCs w:val="28"/>
        </w:rPr>
        <w:t>二、招标文件</w:t>
      </w:r>
      <w:bookmarkEnd w:id="45"/>
      <w:bookmarkEnd w:id="46"/>
      <w:bookmarkEnd w:id="47"/>
      <w:bookmarkEnd w:id="48"/>
      <w:bookmarkEnd w:id="49"/>
    </w:p>
    <w:p>
      <w:pPr>
        <w:spacing w:line="420" w:lineRule="exact"/>
        <w:ind w:firstLine="482" w:firstLineChars="200"/>
        <w:rPr>
          <w:rFonts w:eastAsiaTheme="minorEastAsia" w:cstheme="minorEastAsia"/>
          <w:b/>
          <w:bCs/>
          <w:sz w:val="24"/>
          <w:szCs w:val="24"/>
        </w:rPr>
      </w:pPr>
      <w:bookmarkStart w:id="50" w:name="_Toc346372882"/>
      <w:bookmarkStart w:id="51" w:name="_Toc352332856"/>
      <w:bookmarkStart w:id="52" w:name="_Toc346306735"/>
      <w:r>
        <w:rPr>
          <w:rFonts w:hint="eastAsia" w:eastAsiaTheme="minorEastAsia" w:cstheme="minorEastAsia"/>
          <w:b/>
          <w:bCs/>
          <w:sz w:val="24"/>
          <w:szCs w:val="24"/>
        </w:rPr>
        <w:t>5.招标文件组成</w:t>
      </w:r>
      <w:bookmarkEnd w:id="50"/>
      <w:bookmarkEnd w:id="51"/>
      <w:bookmarkEnd w:id="52"/>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本招标文件由招标文件目录所列内容及按本招标文件要求发出的澄清、答疑和修改组成。</w:t>
      </w:r>
    </w:p>
    <w:p>
      <w:pPr>
        <w:spacing w:line="420" w:lineRule="exact"/>
        <w:ind w:firstLine="482" w:firstLineChars="200"/>
        <w:rPr>
          <w:rFonts w:eastAsiaTheme="minorEastAsia" w:cstheme="minorEastAsia"/>
          <w:b/>
          <w:bCs/>
          <w:sz w:val="24"/>
          <w:szCs w:val="24"/>
        </w:rPr>
      </w:pPr>
      <w:bookmarkStart w:id="53" w:name="_Toc352332857"/>
      <w:bookmarkStart w:id="54" w:name="_Toc346372883"/>
      <w:bookmarkStart w:id="55" w:name="_Toc346306736"/>
      <w:r>
        <w:rPr>
          <w:rFonts w:hint="eastAsia" w:eastAsiaTheme="minorEastAsia" w:cstheme="minorEastAsia"/>
          <w:b/>
          <w:bCs/>
          <w:sz w:val="24"/>
          <w:szCs w:val="24"/>
        </w:rPr>
        <w:t>6.招标文件答疑</w:t>
      </w:r>
      <w:bookmarkEnd w:id="53"/>
      <w:bookmarkEnd w:id="54"/>
      <w:bookmarkEnd w:id="55"/>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投标人对招标文件如有疑问，应于前附表第5项所述时间以前以书面形式通知到招标人。在前附表第6项所述时间之前，招标人将视情况以书面形式予以答复，如有必要可将答复内容包括原提出的问题（但不表明问题的来源），分发给所有取得同一招标文件的投标人。投标人须在收到招标人的书面答复后24小时内书面签章回复。</w:t>
      </w:r>
    </w:p>
    <w:p>
      <w:pPr>
        <w:spacing w:line="420" w:lineRule="exact"/>
        <w:ind w:firstLine="482" w:firstLineChars="200"/>
        <w:rPr>
          <w:rFonts w:eastAsiaTheme="minorEastAsia" w:cstheme="minorEastAsia"/>
          <w:b/>
          <w:bCs/>
          <w:sz w:val="24"/>
          <w:szCs w:val="24"/>
        </w:rPr>
      </w:pPr>
      <w:bookmarkStart w:id="56" w:name="_Toc346372884"/>
      <w:bookmarkStart w:id="57" w:name="_Toc346306737"/>
      <w:bookmarkStart w:id="58" w:name="_Toc352332858"/>
      <w:r>
        <w:rPr>
          <w:rFonts w:hint="eastAsia" w:eastAsiaTheme="minorEastAsia" w:cstheme="minorEastAsia"/>
          <w:b/>
          <w:bCs/>
          <w:sz w:val="24"/>
          <w:szCs w:val="24"/>
        </w:rPr>
        <w:t>7.招标文件澄清和修改</w:t>
      </w:r>
      <w:bookmarkEnd w:id="56"/>
      <w:bookmarkEnd w:id="57"/>
      <w:bookmarkEnd w:id="58"/>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7.1招标人对招标文件有澄清或修改的内容，将以书面补充文件形式通知所有报名成功的投标人。补充文件作为招标文件的组成部分，对所有投标人具有约束力。</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7.2为使投标人有足够的时间按招标文件的要求修改投标文件，招标人可酌情推迟招标的截止时间与开标时间，并将此变更书面通知各投标人。</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7.3投标人须在收到招标人的澄清、修改或变更后24小时内书面签章回复。</w:t>
      </w:r>
      <w:bookmarkStart w:id="59" w:name="_Toc19171"/>
      <w:bookmarkStart w:id="60" w:name="_Toc8064"/>
      <w:bookmarkStart w:id="61" w:name="_Toc49503546"/>
      <w:bookmarkStart w:id="62" w:name="_Toc51786887"/>
      <w:bookmarkStart w:id="63" w:name="_Toc15807"/>
      <w:bookmarkStart w:id="64" w:name="_Toc14341839"/>
    </w:p>
    <w:p>
      <w:pPr>
        <w:spacing w:line="420" w:lineRule="exact"/>
        <w:ind w:firstLine="482" w:firstLineChars="200"/>
        <w:rPr>
          <w:rFonts w:eastAsiaTheme="minorEastAsia" w:cstheme="minorEastAsia"/>
          <w:b/>
          <w:bCs/>
          <w:sz w:val="24"/>
          <w:szCs w:val="24"/>
        </w:rPr>
      </w:pPr>
      <w:r>
        <w:rPr>
          <w:rFonts w:hint="eastAsia" w:eastAsiaTheme="minorEastAsia" w:cstheme="minorEastAsia"/>
          <w:b/>
          <w:bCs/>
          <w:sz w:val="24"/>
          <w:szCs w:val="24"/>
        </w:rPr>
        <w:t>8.特殊说明</w:t>
      </w:r>
    </w:p>
    <w:p>
      <w:pPr>
        <w:spacing w:line="420" w:lineRule="exact"/>
        <w:ind w:firstLine="480" w:firstLineChars="200"/>
        <w:rPr>
          <w:rFonts w:eastAsiaTheme="minorEastAsia" w:cstheme="minorEastAsia"/>
          <w:sz w:val="24"/>
          <w:szCs w:val="24"/>
        </w:rPr>
      </w:pPr>
      <w:r>
        <w:rPr>
          <w:rFonts w:hint="eastAsia" w:eastAsiaTheme="minorEastAsia" w:cstheme="minorEastAsia"/>
          <w:sz w:val="24"/>
          <w:szCs w:val="24"/>
        </w:rPr>
        <w:t>无。</w:t>
      </w:r>
    </w:p>
    <w:p>
      <w:pPr>
        <w:pStyle w:val="2"/>
        <w:rPr>
          <w:rFonts w:ascii="Times New Roman" w:hAnsi="Times New Roman"/>
        </w:rPr>
        <w:sectPr>
          <w:pgSz w:w="11907" w:h="16840"/>
          <w:pgMar w:top="1702" w:right="1418" w:bottom="1418" w:left="1418" w:header="851" w:footer="822" w:gutter="0"/>
          <w:cols w:space="720" w:num="1"/>
          <w:docGrid w:linePitch="290" w:charSpace="-3931"/>
        </w:sectPr>
      </w:pPr>
    </w:p>
    <w:p>
      <w:pPr>
        <w:pStyle w:val="4"/>
        <w:numPr>
          <w:ilvl w:val="0"/>
          <w:numId w:val="0"/>
        </w:numPr>
        <w:spacing w:before="0" w:after="0" w:line="440" w:lineRule="exact"/>
        <w:jc w:val="center"/>
        <w:rPr>
          <w:rFonts w:ascii="Times New Roman" w:hAnsi="Times New Roman" w:eastAsia="宋体" w:cs="宋体"/>
          <w:sz w:val="28"/>
          <w:szCs w:val="28"/>
        </w:rPr>
      </w:pPr>
      <w:r>
        <w:rPr>
          <w:rFonts w:hint="eastAsia" w:ascii="Times New Roman" w:hAnsi="Times New Roman" w:eastAsia="宋体" w:cs="宋体"/>
          <w:sz w:val="28"/>
          <w:szCs w:val="28"/>
        </w:rPr>
        <w:t>三、投标文件编写</w:t>
      </w:r>
      <w:bookmarkEnd w:id="59"/>
      <w:bookmarkEnd w:id="60"/>
      <w:bookmarkEnd w:id="61"/>
      <w:bookmarkEnd w:id="62"/>
      <w:bookmarkEnd w:id="63"/>
      <w:bookmarkEnd w:id="64"/>
    </w:p>
    <w:p>
      <w:pPr>
        <w:spacing w:line="440" w:lineRule="exact"/>
        <w:ind w:firstLine="482" w:firstLineChars="200"/>
        <w:rPr>
          <w:rFonts w:eastAsiaTheme="minorEastAsia" w:cstheme="minorEastAsia"/>
          <w:b/>
          <w:bCs/>
          <w:sz w:val="24"/>
          <w:szCs w:val="24"/>
        </w:rPr>
      </w:pPr>
      <w:bookmarkStart w:id="65" w:name="_Toc212369513"/>
      <w:bookmarkStart w:id="66" w:name="_Toc92678114"/>
      <w:r>
        <w:rPr>
          <w:rFonts w:hint="eastAsia" w:eastAsiaTheme="minorEastAsia" w:cstheme="minorEastAsia"/>
          <w:b/>
          <w:bCs/>
          <w:sz w:val="24"/>
          <w:szCs w:val="24"/>
        </w:rPr>
        <w:t>9.投标文件组成</w:t>
      </w:r>
      <w:bookmarkEnd w:id="65"/>
      <w:bookmarkEnd w:id="66"/>
    </w:p>
    <w:p>
      <w:pPr>
        <w:spacing w:line="440" w:lineRule="exact"/>
        <w:ind w:firstLine="480" w:firstLineChars="200"/>
        <w:rPr>
          <w:rFonts w:eastAsiaTheme="minorEastAsia" w:cstheme="minorEastAsia"/>
          <w:sz w:val="24"/>
          <w:szCs w:val="24"/>
        </w:rPr>
      </w:pPr>
      <w:r>
        <w:rPr>
          <w:rFonts w:hint="eastAsia" w:eastAsiaTheme="minorEastAsia" w:cstheme="minorEastAsia"/>
          <w:sz w:val="24"/>
          <w:szCs w:val="24"/>
        </w:rPr>
        <w:t>投标人的投标文件由资质标书、商务标书、报价一览表共</w:t>
      </w:r>
      <w:r>
        <w:rPr>
          <w:rFonts w:hint="eastAsia" w:eastAsiaTheme="minorEastAsia" w:cstheme="minorEastAsia"/>
          <w:b/>
          <w:bCs/>
          <w:sz w:val="24"/>
          <w:szCs w:val="24"/>
        </w:rPr>
        <w:t>叁</w:t>
      </w:r>
      <w:r>
        <w:rPr>
          <w:rFonts w:hint="eastAsia" w:eastAsiaTheme="minorEastAsia" w:cstheme="minorEastAsia"/>
          <w:sz w:val="24"/>
          <w:szCs w:val="24"/>
        </w:rPr>
        <w:t>部分构成，必须按照9.1及9.2条资质标书及商务标书所列的各项顺序及要求体现的内容进行编写和装订，各项内容要求的资料如营业执照、资质证书、检验报告、财务报表等非现场编写内容，标书正本必须为原件的扫描件（彩色打印）</w:t>
      </w:r>
      <w:bookmarkStart w:id="67" w:name="_Toc212369516"/>
      <w:r>
        <w:rPr>
          <w:rFonts w:hint="eastAsia" w:eastAsiaTheme="minorEastAsia" w:cstheme="minorEastAsia"/>
          <w:sz w:val="24"/>
          <w:szCs w:val="24"/>
        </w:rPr>
        <w:t>。</w:t>
      </w:r>
    </w:p>
    <w:p>
      <w:pPr>
        <w:spacing w:line="440" w:lineRule="exact"/>
        <w:ind w:firstLine="482" w:firstLineChars="200"/>
        <w:rPr>
          <w:rFonts w:eastAsiaTheme="minorEastAsia" w:cstheme="minorEastAsia"/>
          <w:b/>
          <w:bCs/>
          <w:sz w:val="24"/>
          <w:szCs w:val="24"/>
        </w:rPr>
      </w:pPr>
      <w:bookmarkStart w:id="68" w:name="_Toc212369515"/>
      <w:r>
        <w:rPr>
          <w:rFonts w:hint="eastAsia" w:eastAsiaTheme="minorEastAsia" w:cstheme="minorEastAsia"/>
          <w:b/>
          <w:bCs/>
          <w:sz w:val="24"/>
          <w:szCs w:val="24"/>
        </w:rPr>
        <w:t>9.1</w:t>
      </w:r>
      <w:bookmarkEnd w:id="68"/>
      <w:r>
        <w:rPr>
          <w:rFonts w:hint="eastAsia" w:eastAsiaTheme="minorEastAsia" w:cstheme="minorEastAsia"/>
          <w:b/>
          <w:bCs/>
          <w:sz w:val="24"/>
          <w:szCs w:val="24"/>
        </w:rPr>
        <w:t>《投标文件（资质标）》</w:t>
      </w:r>
    </w:p>
    <w:p>
      <w:pPr>
        <w:spacing w:line="440" w:lineRule="exact"/>
        <w:ind w:firstLine="480" w:firstLineChars="200"/>
        <w:rPr>
          <w:rFonts w:cs="宋体"/>
          <w:sz w:val="24"/>
          <w:szCs w:val="24"/>
        </w:rPr>
      </w:pPr>
      <w:r>
        <w:rPr>
          <w:rFonts w:hint="eastAsia" w:cs="宋体"/>
          <w:sz w:val="24"/>
          <w:szCs w:val="24"/>
        </w:rPr>
        <w:t>9.1.1投标人基本情况表；</w:t>
      </w:r>
    </w:p>
    <w:p>
      <w:pPr>
        <w:spacing w:line="440" w:lineRule="exact"/>
        <w:ind w:firstLine="480" w:firstLineChars="200"/>
        <w:rPr>
          <w:rFonts w:cs="宋体"/>
          <w:sz w:val="24"/>
          <w:szCs w:val="24"/>
        </w:rPr>
      </w:pPr>
      <w:r>
        <w:rPr>
          <w:rFonts w:hint="eastAsia" w:cs="宋体"/>
          <w:sz w:val="24"/>
          <w:szCs w:val="24"/>
        </w:rPr>
        <w:t>9.1.2营业执照；</w:t>
      </w:r>
    </w:p>
    <w:p>
      <w:pPr>
        <w:spacing w:line="440" w:lineRule="exact"/>
        <w:ind w:firstLine="480" w:firstLineChars="200"/>
        <w:rPr>
          <w:rFonts w:cs="宋体"/>
          <w:sz w:val="24"/>
          <w:szCs w:val="24"/>
        </w:rPr>
      </w:pPr>
      <w:r>
        <w:rPr>
          <w:rFonts w:hint="eastAsia" w:cs="宋体"/>
          <w:sz w:val="24"/>
          <w:szCs w:val="24"/>
        </w:rPr>
        <w:t>9.1.3资质证书（如有）；</w:t>
      </w:r>
    </w:p>
    <w:p>
      <w:pPr>
        <w:spacing w:line="440" w:lineRule="exact"/>
        <w:ind w:firstLine="480" w:firstLineChars="200"/>
        <w:rPr>
          <w:rFonts w:cs="宋体"/>
          <w:sz w:val="24"/>
          <w:szCs w:val="24"/>
        </w:rPr>
      </w:pPr>
      <w:r>
        <w:rPr>
          <w:rFonts w:hint="eastAsia" w:cs="宋体"/>
          <w:sz w:val="24"/>
          <w:szCs w:val="24"/>
        </w:rPr>
        <w:t>9.1.4安全生产许可证（如有）；</w:t>
      </w:r>
    </w:p>
    <w:p>
      <w:pPr>
        <w:spacing w:line="440" w:lineRule="exact"/>
        <w:ind w:firstLine="480" w:firstLineChars="200"/>
        <w:rPr>
          <w:rFonts w:cs="宋体"/>
          <w:sz w:val="24"/>
          <w:szCs w:val="24"/>
        </w:rPr>
      </w:pPr>
      <w:r>
        <w:rPr>
          <w:rFonts w:hint="eastAsia" w:cs="宋体"/>
          <w:sz w:val="24"/>
          <w:szCs w:val="24"/>
        </w:rPr>
        <w:t>9.1.5法人授权委托书及被授权人身份证；</w:t>
      </w:r>
    </w:p>
    <w:p>
      <w:pPr>
        <w:spacing w:line="440" w:lineRule="exact"/>
        <w:ind w:firstLine="480" w:firstLineChars="200"/>
        <w:rPr>
          <w:rFonts w:cs="宋体"/>
          <w:sz w:val="24"/>
          <w:szCs w:val="24"/>
        </w:rPr>
      </w:pPr>
      <w:r>
        <w:rPr>
          <w:rFonts w:hint="eastAsia" w:cs="宋体"/>
          <w:sz w:val="24"/>
          <w:szCs w:val="24"/>
        </w:rPr>
        <w:t>9.1.6投标保证金缴纳证明（银行回执单）；</w:t>
      </w:r>
    </w:p>
    <w:p>
      <w:pPr>
        <w:spacing w:line="440" w:lineRule="exact"/>
        <w:ind w:firstLine="480" w:firstLineChars="200"/>
        <w:rPr>
          <w:sz w:val="24"/>
        </w:rPr>
      </w:pPr>
      <w:r>
        <w:rPr>
          <w:rFonts w:hint="eastAsia"/>
          <w:sz w:val="24"/>
        </w:rPr>
        <w:t>9.1.7在以往的招投标活动中无违法、违规、违纪、违约行为的承诺；</w:t>
      </w:r>
    </w:p>
    <w:p>
      <w:pPr>
        <w:spacing w:line="440" w:lineRule="exact"/>
        <w:ind w:firstLine="480" w:firstLineChars="200"/>
        <w:rPr>
          <w:rFonts w:cs="宋体"/>
          <w:sz w:val="24"/>
          <w:szCs w:val="24"/>
        </w:rPr>
      </w:pPr>
      <w:r>
        <w:rPr>
          <w:rFonts w:hint="eastAsia" w:cs="宋体"/>
          <w:sz w:val="24"/>
          <w:szCs w:val="24"/>
        </w:rPr>
        <w:t>9.1.8企业信用证明材料（中国人民银行企业征信报告）；</w:t>
      </w:r>
    </w:p>
    <w:p>
      <w:pPr>
        <w:spacing w:line="440" w:lineRule="exact"/>
        <w:ind w:firstLine="480" w:firstLineChars="200"/>
        <w:rPr>
          <w:rFonts w:cs="宋体"/>
          <w:sz w:val="24"/>
          <w:szCs w:val="24"/>
        </w:rPr>
      </w:pPr>
      <w:r>
        <w:rPr>
          <w:rFonts w:hint="eastAsia" w:cs="宋体"/>
          <w:sz w:val="24"/>
          <w:szCs w:val="24"/>
        </w:rPr>
        <w:t>9.1.9自2020年1月1日至今（连续三年）经第三方机构审计的财务报表（资产负债表、损益表、现金流量表）复印件，必须连续，同时填写投标人基本情况及资产情况汇总表。</w:t>
      </w:r>
    </w:p>
    <w:p>
      <w:pPr>
        <w:spacing w:line="440" w:lineRule="exact"/>
        <w:ind w:firstLine="480" w:firstLineChars="200"/>
        <w:rPr>
          <w:rFonts w:cs="宋体"/>
          <w:sz w:val="24"/>
          <w:szCs w:val="24"/>
        </w:rPr>
      </w:pPr>
      <w:r>
        <w:rPr>
          <w:rFonts w:hint="eastAsia" w:cs="宋体"/>
          <w:sz w:val="24"/>
          <w:szCs w:val="24"/>
        </w:rPr>
        <w:t>9.1.10 2020年1月1日至今有相似的100万（合同额）以上的工业类型数字化实施项目案列或IT类系统集成案例1例（含）以上。须提供用户清单、采购合同复印件、验收报告；</w:t>
      </w:r>
    </w:p>
    <w:p>
      <w:pPr>
        <w:spacing w:line="440" w:lineRule="exact"/>
        <w:ind w:firstLine="480" w:firstLineChars="200"/>
        <w:rPr>
          <w:rFonts w:cs="宋体"/>
          <w:sz w:val="24"/>
          <w:szCs w:val="24"/>
        </w:rPr>
      </w:pPr>
      <w:r>
        <w:rPr>
          <w:rFonts w:hint="eastAsia" w:cs="宋体"/>
          <w:sz w:val="24"/>
          <w:szCs w:val="24"/>
        </w:rPr>
        <w:t>9.1.11 满足技术接入要求的5G专网路由器生产厂家正式授权书扫描件，提供原厂售后服务承诺书扫描件；原件备查。</w:t>
      </w:r>
    </w:p>
    <w:p>
      <w:pPr>
        <w:spacing w:line="440" w:lineRule="exact"/>
        <w:ind w:firstLine="480" w:firstLineChars="200"/>
        <w:rPr>
          <w:rFonts w:cs="宋体"/>
          <w:sz w:val="24"/>
          <w:szCs w:val="24"/>
        </w:rPr>
      </w:pPr>
      <w:r>
        <w:rPr>
          <w:rFonts w:hint="eastAsia" w:cs="宋体"/>
          <w:sz w:val="24"/>
          <w:szCs w:val="24"/>
        </w:rPr>
        <w:t>9.1.12服务承诺函、质量承诺函；</w:t>
      </w:r>
    </w:p>
    <w:p>
      <w:pPr>
        <w:spacing w:line="440" w:lineRule="exact"/>
        <w:ind w:firstLine="482" w:firstLineChars="200"/>
        <w:rPr>
          <w:rFonts w:cs="宋体"/>
          <w:b/>
          <w:bCs/>
          <w:sz w:val="24"/>
          <w:szCs w:val="24"/>
        </w:rPr>
      </w:pPr>
      <w:r>
        <w:rPr>
          <w:rFonts w:hint="eastAsia" w:cs="宋体"/>
          <w:b/>
          <w:bCs/>
          <w:sz w:val="24"/>
          <w:szCs w:val="24"/>
        </w:rPr>
        <w:t>9.2《投标文件（商务标）》</w:t>
      </w:r>
    </w:p>
    <w:p>
      <w:pPr>
        <w:spacing w:line="440" w:lineRule="exact"/>
        <w:ind w:firstLine="480" w:firstLineChars="200"/>
        <w:rPr>
          <w:rFonts w:cs="宋体"/>
          <w:sz w:val="24"/>
          <w:szCs w:val="24"/>
        </w:rPr>
      </w:pPr>
      <w:r>
        <w:rPr>
          <w:rFonts w:hint="eastAsia" w:cs="宋体"/>
          <w:sz w:val="24"/>
          <w:szCs w:val="24"/>
        </w:rPr>
        <w:t>9.2.1投标函；</w:t>
      </w:r>
    </w:p>
    <w:p>
      <w:pPr>
        <w:spacing w:line="440" w:lineRule="exact"/>
        <w:ind w:firstLine="480" w:firstLineChars="200"/>
        <w:rPr>
          <w:rFonts w:cs="宋体"/>
          <w:sz w:val="24"/>
          <w:szCs w:val="24"/>
        </w:rPr>
      </w:pPr>
      <w:r>
        <w:rPr>
          <w:rFonts w:hint="eastAsia" w:cs="宋体"/>
          <w:sz w:val="24"/>
          <w:szCs w:val="24"/>
        </w:rPr>
        <w:t>9.2.2定扭设备及加注设备改造项目投标清单报价表；</w:t>
      </w:r>
    </w:p>
    <w:p>
      <w:pPr>
        <w:spacing w:line="440" w:lineRule="exact"/>
        <w:ind w:firstLine="480" w:firstLineChars="200"/>
        <w:rPr>
          <w:rFonts w:cs="宋体"/>
          <w:sz w:val="24"/>
          <w:szCs w:val="24"/>
        </w:rPr>
      </w:pPr>
      <w:r>
        <w:rPr>
          <w:rFonts w:hint="eastAsia" w:cs="宋体"/>
          <w:sz w:val="24"/>
          <w:szCs w:val="24"/>
        </w:rPr>
        <w:t>9.2.3投标人承诺函，需写明质保期以外服务费用情况；</w:t>
      </w:r>
    </w:p>
    <w:p>
      <w:pPr>
        <w:spacing w:line="440" w:lineRule="exact"/>
        <w:ind w:firstLine="480" w:firstLineChars="200"/>
        <w:rPr>
          <w:rFonts w:cs="宋体"/>
          <w:sz w:val="24"/>
          <w:szCs w:val="24"/>
        </w:rPr>
      </w:pPr>
      <w:r>
        <w:rPr>
          <w:rFonts w:hint="eastAsia" w:cs="宋体"/>
          <w:sz w:val="24"/>
          <w:szCs w:val="24"/>
        </w:rPr>
        <w:t>9.2.4商务偏离表；</w:t>
      </w:r>
    </w:p>
    <w:p>
      <w:pPr>
        <w:spacing w:line="440" w:lineRule="exact"/>
        <w:ind w:firstLine="480" w:firstLineChars="200"/>
        <w:rPr>
          <w:rFonts w:cs="宋体"/>
          <w:sz w:val="24"/>
          <w:szCs w:val="24"/>
        </w:rPr>
      </w:pPr>
      <w:r>
        <w:rPr>
          <w:rFonts w:hint="eastAsia" w:cs="宋体"/>
          <w:sz w:val="24"/>
          <w:szCs w:val="24"/>
        </w:rPr>
        <w:t>9.2.5按招标文件投标人须知和技术规格书中要求提供的有关文件。</w:t>
      </w:r>
    </w:p>
    <w:p>
      <w:pPr>
        <w:spacing w:line="440" w:lineRule="exact"/>
        <w:ind w:firstLine="482" w:firstLineChars="200"/>
        <w:rPr>
          <w:b/>
          <w:bCs/>
          <w:sz w:val="24"/>
        </w:rPr>
      </w:pPr>
      <w:r>
        <w:rPr>
          <w:rFonts w:hint="eastAsia"/>
          <w:b/>
          <w:bCs/>
          <w:sz w:val="24"/>
        </w:rPr>
        <w:t>9.3开标一览表</w:t>
      </w:r>
      <w:bookmarkEnd w:id="67"/>
    </w:p>
    <w:p>
      <w:pPr>
        <w:spacing w:line="440" w:lineRule="exact"/>
        <w:ind w:firstLine="480" w:firstLineChars="200"/>
        <w:rPr>
          <w:rFonts w:cs="宋体"/>
          <w:sz w:val="24"/>
          <w:szCs w:val="24"/>
        </w:rPr>
      </w:pPr>
      <w:r>
        <w:rPr>
          <w:rFonts w:hint="eastAsia" w:cs="宋体"/>
          <w:sz w:val="24"/>
          <w:szCs w:val="24"/>
        </w:rPr>
        <w:t>9.3.1开标报价一览表（具体详见附表）。</w:t>
      </w:r>
    </w:p>
    <w:p>
      <w:pPr>
        <w:spacing w:line="440" w:lineRule="exact"/>
        <w:ind w:firstLine="482" w:firstLineChars="200"/>
        <w:rPr>
          <w:rFonts w:cs="宋体"/>
          <w:b/>
          <w:bCs/>
          <w:sz w:val="24"/>
          <w:szCs w:val="24"/>
        </w:rPr>
      </w:pPr>
      <w:r>
        <w:rPr>
          <w:rFonts w:hint="eastAsia" w:cs="宋体"/>
          <w:b/>
          <w:bCs/>
          <w:sz w:val="24"/>
          <w:szCs w:val="24"/>
        </w:rPr>
        <w:t>注：招标文件给定格式的按给定的格式填写，未给定格式的，由投标人自行编制，但需包含以上内容。</w:t>
      </w:r>
    </w:p>
    <w:p>
      <w:pPr>
        <w:spacing w:line="440" w:lineRule="exact"/>
        <w:ind w:firstLine="482" w:firstLineChars="200"/>
        <w:rPr>
          <w:rFonts w:cs="宋体"/>
          <w:b/>
          <w:bCs/>
          <w:sz w:val="24"/>
          <w:szCs w:val="24"/>
        </w:rPr>
      </w:pPr>
      <w:bookmarkStart w:id="69" w:name="_Toc212369518"/>
      <w:r>
        <w:rPr>
          <w:rFonts w:hint="eastAsia" w:cs="宋体"/>
          <w:b/>
          <w:bCs/>
          <w:sz w:val="24"/>
          <w:szCs w:val="24"/>
        </w:rPr>
        <w:t>10.投标内容填写说明</w:t>
      </w:r>
      <w:bookmarkEnd w:id="69"/>
    </w:p>
    <w:p>
      <w:pPr>
        <w:spacing w:line="440" w:lineRule="exact"/>
        <w:ind w:firstLine="480" w:firstLineChars="200"/>
        <w:rPr>
          <w:rFonts w:cs="宋体"/>
          <w:sz w:val="24"/>
          <w:szCs w:val="24"/>
        </w:rPr>
      </w:pPr>
      <w:r>
        <w:rPr>
          <w:rFonts w:hint="eastAsia" w:cs="宋体"/>
          <w:sz w:val="24"/>
          <w:szCs w:val="24"/>
        </w:rPr>
        <w:t>10.1 投标文件按统一格式填写，装订成册资质术标、商务标、报价一览表分别装订、打包。最终投标人提交一份密封投标文件（详见投标人须知前附表第9项）。</w:t>
      </w:r>
    </w:p>
    <w:p>
      <w:pPr>
        <w:spacing w:line="440" w:lineRule="exact"/>
        <w:ind w:firstLine="480" w:firstLineChars="200"/>
        <w:rPr>
          <w:rFonts w:cs="宋体"/>
          <w:sz w:val="24"/>
          <w:szCs w:val="24"/>
        </w:rPr>
      </w:pPr>
      <w:r>
        <w:rPr>
          <w:rFonts w:hint="eastAsia" w:cs="宋体"/>
          <w:sz w:val="24"/>
          <w:szCs w:val="24"/>
        </w:rPr>
        <w:t>10.2 报价一览表为在开标仪式上唱标的内容，要求按格式填写、统一规范，不得自行增减内容。</w:t>
      </w:r>
    </w:p>
    <w:p>
      <w:pPr>
        <w:spacing w:line="440" w:lineRule="exact"/>
        <w:ind w:firstLine="482" w:firstLineChars="200"/>
        <w:rPr>
          <w:rFonts w:cs="宋体"/>
          <w:b/>
          <w:bCs/>
          <w:sz w:val="24"/>
          <w:szCs w:val="24"/>
        </w:rPr>
      </w:pPr>
      <w:bookmarkStart w:id="70" w:name="_Toc212369519"/>
      <w:r>
        <w:rPr>
          <w:rFonts w:hint="eastAsia" w:cs="宋体"/>
          <w:b/>
          <w:bCs/>
          <w:sz w:val="24"/>
          <w:szCs w:val="24"/>
        </w:rPr>
        <w:t>11.投标报价</w:t>
      </w:r>
      <w:bookmarkEnd w:id="70"/>
    </w:p>
    <w:p>
      <w:pPr>
        <w:spacing w:line="440" w:lineRule="exact"/>
        <w:ind w:firstLine="480" w:firstLineChars="200"/>
        <w:rPr>
          <w:rFonts w:cs="宋体"/>
          <w:sz w:val="24"/>
          <w:szCs w:val="24"/>
        </w:rPr>
      </w:pPr>
      <w:r>
        <w:rPr>
          <w:rFonts w:hint="eastAsia" w:cs="宋体"/>
          <w:sz w:val="24"/>
          <w:szCs w:val="24"/>
        </w:rPr>
        <w:t>11.1投标报价应包括本次项目的设计、制造、运输、装卸、包装、保险、安装、调试至交付使用所涉及的人工费、设备费、材料费、管理费、验收费、检测办证费、随机备品备件、垃圾清理费及因购买货物和服务所需缴纳的所有税费及其他不可遇见等全部费用，本项目为交钥匙工程。本次投标的清单综合单价固定不变。投标人应充分考虑材料及运输等市场价格波动及政策性调整等一切风险因素。无论任何因素，中标的综合价格不再进行调整。</w:t>
      </w:r>
    </w:p>
    <w:p>
      <w:pPr>
        <w:spacing w:line="440" w:lineRule="exact"/>
        <w:ind w:firstLine="482" w:firstLineChars="200"/>
        <w:rPr>
          <w:rFonts w:hint="eastAsia" w:cs="宋体"/>
          <w:b/>
          <w:bCs/>
          <w:sz w:val="24"/>
          <w:szCs w:val="24"/>
          <w:highlight w:val="none"/>
        </w:rPr>
      </w:pPr>
      <w:r>
        <w:rPr>
          <w:rFonts w:hint="eastAsia" w:cs="宋体"/>
          <w:b/>
          <w:bCs/>
          <w:sz w:val="24"/>
          <w:szCs w:val="24"/>
          <w:highlight w:val="none"/>
        </w:rPr>
        <w:t>本项目税率：</w:t>
      </w:r>
      <w:r>
        <w:rPr>
          <w:rFonts w:cs="宋体"/>
          <w:b/>
          <w:bCs/>
          <w:sz w:val="24"/>
          <w:szCs w:val="24"/>
          <w:highlight w:val="none"/>
        </w:rPr>
        <w:t>6</w:t>
      </w:r>
      <w:r>
        <w:rPr>
          <w:rFonts w:hint="eastAsia" w:cs="宋体"/>
          <w:b/>
          <w:bCs/>
          <w:sz w:val="24"/>
          <w:szCs w:val="24"/>
          <w:highlight w:val="none"/>
        </w:rPr>
        <w:t>%</w:t>
      </w:r>
      <w:r>
        <w:rPr>
          <w:rFonts w:hint="eastAsia" w:cs="宋体"/>
          <w:b/>
          <w:bCs/>
          <w:sz w:val="24"/>
          <w:szCs w:val="24"/>
          <w:highlight w:val="none"/>
          <w:lang w:val="en-US" w:eastAsia="zh-CN"/>
        </w:rPr>
        <w:t xml:space="preserve"> </w:t>
      </w:r>
      <w:r>
        <w:rPr>
          <w:rFonts w:hint="eastAsia" w:cs="宋体"/>
          <w:b/>
          <w:bCs/>
          <w:sz w:val="24"/>
          <w:szCs w:val="24"/>
          <w:highlight w:val="none"/>
        </w:rPr>
        <w:t>。</w:t>
      </w:r>
    </w:p>
    <w:p>
      <w:pPr>
        <w:spacing w:line="440" w:lineRule="exact"/>
        <w:ind w:firstLine="480" w:firstLineChars="200"/>
        <w:rPr>
          <w:rFonts w:cs="宋体"/>
          <w:sz w:val="24"/>
          <w:szCs w:val="24"/>
        </w:rPr>
      </w:pPr>
      <w:bookmarkStart w:id="71" w:name="_Toc352332865"/>
      <w:bookmarkStart w:id="72" w:name="_Toc346372891"/>
      <w:bookmarkStart w:id="73" w:name="_Toc346306744"/>
      <w:r>
        <w:rPr>
          <w:rFonts w:hint="eastAsia" w:cs="宋体"/>
          <w:sz w:val="24"/>
          <w:szCs w:val="24"/>
        </w:rPr>
        <w:t>11.2 投标人要按投标货物数量、价格表（统一格式）的内容填写产品单价、总价及其他事项，并由法人代表或授权代表签署。</w:t>
      </w:r>
    </w:p>
    <w:p>
      <w:pPr>
        <w:spacing w:line="440" w:lineRule="exact"/>
        <w:ind w:firstLine="480" w:firstLineChars="200"/>
        <w:rPr>
          <w:rFonts w:cs="宋体"/>
          <w:sz w:val="24"/>
          <w:szCs w:val="24"/>
        </w:rPr>
      </w:pPr>
      <w:r>
        <w:rPr>
          <w:rFonts w:hint="eastAsia" w:cs="宋体"/>
          <w:sz w:val="24"/>
          <w:szCs w:val="24"/>
        </w:rPr>
        <w:t>11.3 对于非标准货物的投标，还应填报价明细表（报价明细表格式由投标人自行设计）。</w:t>
      </w:r>
    </w:p>
    <w:p>
      <w:pPr>
        <w:spacing w:line="440" w:lineRule="exact"/>
        <w:ind w:firstLine="480" w:firstLineChars="200"/>
        <w:rPr>
          <w:rFonts w:cs="宋体"/>
          <w:sz w:val="24"/>
          <w:szCs w:val="24"/>
        </w:rPr>
      </w:pPr>
      <w:r>
        <w:rPr>
          <w:rFonts w:hint="eastAsia" w:cs="宋体"/>
          <w:sz w:val="24"/>
          <w:szCs w:val="24"/>
        </w:rPr>
        <w:t>11.4 投标人如需用外汇购入某些投标货物，须折合人民币计入总报价中。</w:t>
      </w:r>
    </w:p>
    <w:p>
      <w:pPr>
        <w:spacing w:line="440" w:lineRule="exact"/>
        <w:ind w:firstLine="480" w:firstLineChars="200"/>
        <w:rPr>
          <w:rFonts w:cs="宋体"/>
          <w:sz w:val="24"/>
          <w:szCs w:val="24"/>
        </w:rPr>
      </w:pPr>
      <w:r>
        <w:rPr>
          <w:rFonts w:hint="eastAsia" w:cs="宋体"/>
          <w:sz w:val="24"/>
          <w:szCs w:val="24"/>
        </w:rPr>
        <w:t>11.5招标人不接受任何选择报价，对每一种货物只允许一个报价。</w:t>
      </w:r>
    </w:p>
    <w:p>
      <w:pPr>
        <w:spacing w:line="440" w:lineRule="exact"/>
        <w:ind w:firstLine="480" w:firstLineChars="200"/>
        <w:rPr>
          <w:rFonts w:cs="宋体"/>
          <w:sz w:val="24"/>
          <w:szCs w:val="24"/>
        </w:rPr>
      </w:pPr>
      <w:r>
        <w:rPr>
          <w:rFonts w:hint="eastAsia" w:cs="宋体"/>
          <w:sz w:val="24"/>
          <w:szCs w:val="24"/>
        </w:rPr>
        <w:t>11.6 单独密封的“报价一览表”与投标文件正本不符，以“报价一览表”为准。</w:t>
      </w:r>
    </w:p>
    <w:p>
      <w:pPr>
        <w:spacing w:line="440" w:lineRule="exact"/>
        <w:ind w:firstLine="480" w:firstLineChars="200"/>
        <w:rPr>
          <w:rFonts w:cs="宋体"/>
          <w:sz w:val="24"/>
          <w:szCs w:val="24"/>
        </w:rPr>
      </w:pPr>
      <w:r>
        <w:rPr>
          <w:rFonts w:hint="eastAsia" w:cs="宋体"/>
          <w:sz w:val="24"/>
          <w:szCs w:val="24"/>
        </w:rPr>
        <w:t>11.7 投标人须提供分项单价和报价总价，单价和总价不符，以中标价为准，根据总价修正单价。评标委员会认为单价有明显的小数点错误，应以标出的总价为准，并修改单价。</w:t>
      </w:r>
    </w:p>
    <w:p>
      <w:pPr>
        <w:spacing w:line="440" w:lineRule="exact"/>
        <w:ind w:firstLine="480" w:firstLineChars="200"/>
        <w:rPr>
          <w:rFonts w:cs="宋体"/>
          <w:sz w:val="24"/>
          <w:szCs w:val="24"/>
        </w:rPr>
      </w:pPr>
      <w:r>
        <w:rPr>
          <w:rFonts w:hint="eastAsia" w:cs="宋体"/>
          <w:sz w:val="24"/>
          <w:szCs w:val="24"/>
        </w:rPr>
        <w:t>11.8 如果大写的金额和小写的金额不一致时，以大写的金额为准。</w:t>
      </w:r>
    </w:p>
    <w:p>
      <w:pPr>
        <w:spacing w:line="440" w:lineRule="exact"/>
        <w:ind w:firstLine="480" w:firstLineChars="200"/>
        <w:rPr>
          <w:rFonts w:cs="宋体"/>
          <w:sz w:val="24"/>
          <w:szCs w:val="24"/>
        </w:rPr>
      </w:pPr>
      <w:r>
        <w:rPr>
          <w:rFonts w:hint="eastAsia" w:cs="宋体"/>
          <w:sz w:val="24"/>
          <w:szCs w:val="24"/>
        </w:rPr>
        <w:t>11.9 投标人免费提供的项目，应先填写该项目的实际价格，并注明免费。此项不计入总报价。</w:t>
      </w:r>
    </w:p>
    <w:p>
      <w:pPr>
        <w:spacing w:line="440" w:lineRule="exact"/>
        <w:ind w:firstLine="480" w:firstLineChars="200"/>
        <w:rPr>
          <w:rFonts w:cs="宋体"/>
          <w:sz w:val="24"/>
          <w:szCs w:val="24"/>
        </w:rPr>
      </w:pPr>
      <w:r>
        <w:rPr>
          <w:rFonts w:hint="eastAsia" w:cs="宋体"/>
          <w:sz w:val="24"/>
          <w:szCs w:val="24"/>
        </w:rPr>
        <w:t>11.10总报价为投标人在投标文件中提出的各项支付金额的总和。</w:t>
      </w:r>
    </w:p>
    <w:p>
      <w:pPr>
        <w:spacing w:line="440" w:lineRule="exact"/>
        <w:ind w:firstLine="480" w:firstLineChars="200"/>
        <w:rPr>
          <w:rFonts w:cs="宋体"/>
          <w:sz w:val="24"/>
          <w:szCs w:val="24"/>
        </w:rPr>
      </w:pPr>
      <w:r>
        <w:rPr>
          <w:rFonts w:hint="eastAsia" w:cs="宋体"/>
          <w:sz w:val="24"/>
          <w:szCs w:val="24"/>
        </w:rPr>
        <w:t>11.11投标人应报出其所能承受的最低的合理价格。投标人应保证报价书中所报出的价格，在排除各种差异因素后，不超出国内正常市场价格，并且保证价格不应高于对其他情况相似购买者的合同价。任何对本保证的违背，将使招标人有权终止合同或要求归还所得的超支价款。</w:t>
      </w:r>
    </w:p>
    <w:p>
      <w:pPr>
        <w:spacing w:line="440" w:lineRule="exact"/>
        <w:ind w:firstLine="482" w:firstLineChars="200"/>
        <w:rPr>
          <w:rFonts w:cs="宋体"/>
          <w:b/>
          <w:bCs/>
          <w:sz w:val="24"/>
          <w:szCs w:val="24"/>
        </w:rPr>
      </w:pPr>
      <w:r>
        <w:rPr>
          <w:rFonts w:hint="eastAsia" w:cs="宋体"/>
          <w:b/>
          <w:bCs/>
          <w:sz w:val="24"/>
          <w:szCs w:val="24"/>
        </w:rPr>
        <w:t>12.投标文件签署</w:t>
      </w:r>
      <w:bookmarkEnd w:id="71"/>
      <w:bookmarkEnd w:id="72"/>
      <w:bookmarkEnd w:id="73"/>
    </w:p>
    <w:p>
      <w:pPr>
        <w:spacing w:line="440" w:lineRule="exact"/>
        <w:ind w:firstLine="480" w:firstLineChars="200"/>
        <w:rPr>
          <w:rFonts w:cs="宋体"/>
          <w:sz w:val="24"/>
          <w:szCs w:val="24"/>
        </w:rPr>
      </w:pPr>
      <w:r>
        <w:rPr>
          <w:rFonts w:hint="eastAsia" w:cs="宋体"/>
          <w:sz w:val="24"/>
          <w:szCs w:val="24"/>
        </w:rPr>
        <w:t>12.1投标文件应加盖投标人单位公章（不得使用其他形式如带有“专用章”等字样的印章）并经法定代表人或其委托代理人签字，签字须使用黑色或蓝色不可退色签字笔，由投标人法人或委托代理人亲自签署，由委托代理人签字的投标文件中须附授权委托书。投标人代表必须按招标文件的规定签署投标文件正本及各附件（副本的签署不做强制要求，可以是正本的彩印件，但是必须加盖投标人单位公章）。否则，其投标文件按无效投标处理。</w:t>
      </w:r>
    </w:p>
    <w:p>
      <w:pPr>
        <w:spacing w:line="440" w:lineRule="exact"/>
        <w:ind w:firstLine="480" w:firstLineChars="200"/>
        <w:rPr>
          <w:rFonts w:cs="宋体"/>
          <w:sz w:val="24"/>
          <w:szCs w:val="24"/>
        </w:rPr>
      </w:pPr>
      <w:r>
        <w:rPr>
          <w:rFonts w:hint="eastAsia" w:cs="宋体"/>
          <w:sz w:val="24"/>
          <w:szCs w:val="24"/>
        </w:rPr>
        <w:t>12.2 本招标文件提供的投标文件格式中，标注有盖公章、签字之处，应有投标人的盖章、委托代理人的签字或法定代表人的签字或盖章。</w:t>
      </w:r>
    </w:p>
    <w:p>
      <w:pPr>
        <w:spacing w:line="440" w:lineRule="exact"/>
        <w:ind w:firstLine="482" w:firstLineChars="200"/>
        <w:rPr>
          <w:rFonts w:cs="宋体"/>
          <w:b/>
          <w:bCs/>
          <w:sz w:val="24"/>
          <w:szCs w:val="24"/>
        </w:rPr>
      </w:pPr>
      <w:bookmarkStart w:id="74" w:name="_Toc346306745"/>
      <w:bookmarkStart w:id="75" w:name="_Toc346372892"/>
      <w:bookmarkStart w:id="76" w:name="_Toc352332866"/>
      <w:r>
        <w:rPr>
          <w:rFonts w:hint="eastAsia" w:cs="宋体"/>
          <w:b/>
          <w:bCs/>
          <w:sz w:val="24"/>
          <w:szCs w:val="24"/>
        </w:rPr>
        <w:t>13.投标文件密封和标记</w:t>
      </w:r>
      <w:bookmarkEnd w:id="74"/>
      <w:bookmarkEnd w:id="75"/>
      <w:bookmarkEnd w:id="76"/>
    </w:p>
    <w:p>
      <w:pPr>
        <w:spacing w:line="440" w:lineRule="exact"/>
        <w:ind w:firstLine="480" w:firstLineChars="200"/>
        <w:rPr>
          <w:rFonts w:cs="宋体"/>
          <w:sz w:val="24"/>
          <w:szCs w:val="24"/>
        </w:rPr>
      </w:pPr>
      <w:r>
        <w:rPr>
          <w:rFonts w:hint="eastAsia" w:cs="宋体"/>
          <w:sz w:val="24"/>
          <w:szCs w:val="24"/>
        </w:rPr>
        <w:t>13.1投标人应准备的投标文件份数见投标人须知前附表第9项，投标人应在每一份投标文件（资质标书及商务标书）右上角上注明“正本”或“副本”字样。</w:t>
      </w:r>
    </w:p>
    <w:p>
      <w:pPr>
        <w:spacing w:line="440" w:lineRule="exact"/>
        <w:ind w:firstLine="480" w:firstLineChars="200"/>
        <w:rPr>
          <w:rFonts w:cs="宋体"/>
          <w:sz w:val="24"/>
          <w:szCs w:val="24"/>
        </w:rPr>
      </w:pPr>
      <w:r>
        <w:rPr>
          <w:rFonts w:hint="eastAsia" w:cs="宋体"/>
          <w:sz w:val="24"/>
          <w:szCs w:val="24"/>
        </w:rPr>
        <w:t>13.2投标文件的密封和标记详见投标人须知前附表第9项。</w:t>
      </w:r>
    </w:p>
    <w:p>
      <w:pPr>
        <w:spacing w:line="440" w:lineRule="exact"/>
        <w:ind w:firstLine="482" w:firstLineChars="200"/>
        <w:rPr>
          <w:rFonts w:cs="宋体"/>
          <w:b/>
          <w:bCs/>
          <w:sz w:val="24"/>
          <w:szCs w:val="24"/>
        </w:rPr>
      </w:pPr>
      <w:bookmarkStart w:id="77" w:name="_Toc346372888"/>
      <w:bookmarkStart w:id="78" w:name="_Toc352332862"/>
      <w:bookmarkStart w:id="79" w:name="_Toc346306741"/>
      <w:bookmarkStart w:id="80" w:name="_Toc346372893"/>
      <w:bookmarkStart w:id="81" w:name="_Toc346306746"/>
      <w:bookmarkStart w:id="82" w:name="_Toc352332867"/>
      <w:r>
        <w:rPr>
          <w:rFonts w:hint="eastAsia" w:cs="宋体"/>
          <w:b/>
          <w:bCs/>
          <w:sz w:val="24"/>
          <w:szCs w:val="24"/>
        </w:rPr>
        <w:t>14.投标文件装订</w:t>
      </w:r>
      <w:bookmarkEnd w:id="77"/>
      <w:bookmarkEnd w:id="78"/>
      <w:bookmarkEnd w:id="79"/>
    </w:p>
    <w:p>
      <w:pPr>
        <w:spacing w:line="440" w:lineRule="exact"/>
        <w:ind w:firstLine="480" w:firstLineChars="200"/>
        <w:rPr>
          <w:rFonts w:cs="宋体"/>
          <w:sz w:val="24"/>
          <w:szCs w:val="24"/>
        </w:rPr>
      </w:pPr>
      <w:r>
        <w:rPr>
          <w:rFonts w:hint="eastAsia" w:cs="宋体"/>
          <w:sz w:val="24"/>
          <w:szCs w:val="24"/>
        </w:rPr>
        <w:t>详见投标人须知前附表第9、10项。</w:t>
      </w:r>
    </w:p>
    <w:p>
      <w:pPr>
        <w:spacing w:line="440" w:lineRule="exact"/>
        <w:ind w:firstLine="482" w:firstLineChars="200"/>
        <w:rPr>
          <w:rFonts w:cs="宋体"/>
          <w:b/>
          <w:bCs/>
          <w:sz w:val="24"/>
          <w:szCs w:val="24"/>
        </w:rPr>
      </w:pPr>
      <w:r>
        <w:rPr>
          <w:rFonts w:hint="eastAsia" w:cs="宋体"/>
          <w:b/>
          <w:bCs/>
          <w:sz w:val="24"/>
          <w:szCs w:val="24"/>
        </w:rPr>
        <w:t>15.投标保证金</w:t>
      </w:r>
      <w:bookmarkEnd w:id="80"/>
      <w:bookmarkEnd w:id="81"/>
      <w:bookmarkEnd w:id="82"/>
    </w:p>
    <w:p>
      <w:pPr>
        <w:spacing w:line="440" w:lineRule="exact"/>
        <w:ind w:firstLine="480" w:firstLineChars="200"/>
        <w:rPr>
          <w:rFonts w:cs="宋体"/>
          <w:sz w:val="24"/>
          <w:szCs w:val="24"/>
        </w:rPr>
      </w:pPr>
      <w:r>
        <w:rPr>
          <w:rFonts w:hint="eastAsia" w:cs="宋体"/>
          <w:sz w:val="24"/>
          <w:szCs w:val="24"/>
        </w:rPr>
        <w:t>15.1投标人应按前附表第11项的规定提交投标保证金，作为其投标文件的一部分。未按本招标文件规定提交投标保证金的，按无效投标处理。</w:t>
      </w:r>
    </w:p>
    <w:p>
      <w:pPr>
        <w:spacing w:line="440" w:lineRule="exact"/>
        <w:ind w:firstLine="480" w:firstLineChars="200"/>
        <w:rPr>
          <w:rFonts w:cs="宋体"/>
          <w:sz w:val="24"/>
          <w:szCs w:val="24"/>
        </w:rPr>
      </w:pPr>
      <w:r>
        <w:rPr>
          <w:rFonts w:hint="eastAsia" w:cs="宋体"/>
          <w:sz w:val="24"/>
          <w:szCs w:val="24"/>
        </w:rPr>
        <w:t>15.2如投标人有下列情况，投标保证金不予退还，招标人有权依法向其提出索赔，投标人应当赔偿因此给招标人造成的全部损失：</w:t>
      </w:r>
    </w:p>
    <w:p>
      <w:pPr>
        <w:spacing w:line="440" w:lineRule="exact"/>
        <w:ind w:firstLine="480" w:firstLineChars="200"/>
        <w:rPr>
          <w:rFonts w:cs="宋体"/>
          <w:sz w:val="24"/>
          <w:szCs w:val="24"/>
        </w:rPr>
      </w:pPr>
      <w:r>
        <w:rPr>
          <w:rFonts w:hint="eastAsia" w:cs="宋体"/>
          <w:sz w:val="24"/>
          <w:szCs w:val="24"/>
        </w:rPr>
        <w:t>1）开标后，投标人在投标有效期内撤回谈判的；</w:t>
      </w:r>
    </w:p>
    <w:p>
      <w:pPr>
        <w:spacing w:line="440" w:lineRule="exact"/>
        <w:ind w:firstLine="480" w:firstLineChars="200"/>
        <w:rPr>
          <w:rFonts w:cs="宋体"/>
          <w:sz w:val="24"/>
          <w:szCs w:val="24"/>
        </w:rPr>
      </w:pPr>
      <w:r>
        <w:rPr>
          <w:rFonts w:hint="eastAsia" w:cs="宋体"/>
          <w:sz w:val="24"/>
          <w:szCs w:val="24"/>
        </w:rPr>
        <w:t>2）采取不正当手段诋毁、排挤其他投标人的；</w:t>
      </w:r>
    </w:p>
    <w:p>
      <w:pPr>
        <w:spacing w:line="440" w:lineRule="exact"/>
        <w:ind w:firstLine="480" w:firstLineChars="200"/>
        <w:rPr>
          <w:rFonts w:cs="宋体"/>
          <w:sz w:val="24"/>
          <w:szCs w:val="24"/>
        </w:rPr>
      </w:pPr>
      <w:r>
        <w:rPr>
          <w:rFonts w:hint="eastAsia" w:cs="宋体"/>
          <w:sz w:val="24"/>
          <w:szCs w:val="24"/>
        </w:rPr>
        <w:t>3）与招标人、其他投标人恶意串通的；</w:t>
      </w:r>
    </w:p>
    <w:p>
      <w:pPr>
        <w:spacing w:line="440" w:lineRule="exact"/>
        <w:ind w:firstLine="480" w:firstLineChars="200"/>
        <w:rPr>
          <w:rFonts w:cs="宋体"/>
          <w:sz w:val="24"/>
          <w:szCs w:val="24"/>
        </w:rPr>
      </w:pPr>
      <w:r>
        <w:rPr>
          <w:rFonts w:hint="eastAsia" w:cs="宋体"/>
          <w:sz w:val="24"/>
          <w:szCs w:val="24"/>
        </w:rPr>
        <w:t>4）向招标人行贿或者提供其他不正当利益的；</w:t>
      </w:r>
    </w:p>
    <w:p>
      <w:pPr>
        <w:spacing w:line="440" w:lineRule="exact"/>
        <w:ind w:firstLine="480" w:firstLineChars="200"/>
        <w:rPr>
          <w:rFonts w:cs="宋体"/>
          <w:sz w:val="24"/>
          <w:szCs w:val="24"/>
        </w:rPr>
      </w:pPr>
      <w:r>
        <w:rPr>
          <w:rFonts w:hint="eastAsia" w:cs="宋体"/>
          <w:sz w:val="24"/>
          <w:szCs w:val="24"/>
        </w:rPr>
        <w:t>5）投标人在投标文件中提供虚假材料的；</w:t>
      </w:r>
    </w:p>
    <w:p>
      <w:pPr>
        <w:spacing w:line="440" w:lineRule="exact"/>
        <w:ind w:firstLine="480" w:firstLineChars="200"/>
        <w:rPr>
          <w:rFonts w:cs="宋体"/>
          <w:sz w:val="24"/>
          <w:szCs w:val="24"/>
        </w:rPr>
      </w:pPr>
      <w:r>
        <w:rPr>
          <w:rFonts w:hint="eastAsia" w:cs="宋体"/>
          <w:sz w:val="24"/>
          <w:szCs w:val="24"/>
        </w:rPr>
        <w:t>6）中标人无正当理由未能按规定与招标人签订合同的；</w:t>
      </w:r>
    </w:p>
    <w:p>
      <w:pPr>
        <w:spacing w:line="440" w:lineRule="exact"/>
        <w:ind w:firstLine="480" w:firstLineChars="200"/>
        <w:rPr>
          <w:rFonts w:cs="宋体"/>
          <w:sz w:val="24"/>
          <w:szCs w:val="24"/>
        </w:rPr>
      </w:pPr>
      <w:r>
        <w:rPr>
          <w:rFonts w:hint="eastAsia" w:cs="宋体"/>
          <w:sz w:val="24"/>
          <w:szCs w:val="24"/>
        </w:rPr>
        <w:t>7）法律法规和招标文件规定的其他情形。</w:t>
      </w:r>
    </w:p>
    <w:p>
      <w:pPr>
        <w:spacing w:line="440" w:lineRule="exact"/>
        <w:ind w:firstLine="480" w:firstLineChars="200"/>
        <w:rPr>
          <w:rFonts w:cs="宋体"/>
          <w:sz w:val="24"/>
          <w:szCs w:val="24"/>
        </w:rPr>
      </w:pPr>
      <w:r>
        <w:rPr>
          <w:rFonts w:hint="eastAsia" w:cs="宋体"/>
          <w:sz w:val="24"/>
          <w:szCs w:val="24"/>
        </w:rPr>
        <w:t>15.3保证金的退还：</w:t>
      </w:r>
    </w:p>
    <w:p>
      <w:pPr>
        <w:spacing w:line="440" w:lineRule="exact"/>
        <w:ind w:firstLine="480" w:firstLineChars="200"/>
        <w:rPr>
          <w:rFonts w:cs="宋体"/>
          <w:sz w:val="24"/>
          <w:szCs w:val="24"/>
        </w:rPr>
      </w:pPr>
      <w:bookmarkStart w:id="83" w:name="_Toc346372894"/>
      <w:bookmarkStart w:id="84" w:name="_Toc352332868"/>
      <w:bookmarkStart w:id="85" w:name="_Toc346306747"/>
      <w:r>
        <w:rPr>
          <w:rFonts w:hint="eastAsia" w:cs="宋体"/>
          <w:sz w:val="24"/>
          <w:szCs w:val="24"/>
        </w:rPr>
        <w:t>详见投标人须知前附表第11项。</w:t>
      </w:r>
    </w:p>
    <w:p>
      <w:pPr>
        <w:spacing w:line="440" w:lineRule="exact"/>
        <w:ind w:firstLine="482" w:firstLineChars="200"/>
        <w:rPr>
          <w:rFonts w:cs="宋体"/>
          <w:b/>
          <w:bCs/>
          <w:sz w:val="24"/>
          <w:szCs w:val="24"/>
        </w:rPr>
      </w:pPr>
      <w:r>
        <w:rPr>
          <w:rFonts w:hint="eastAsia" w:cs="宋体"/>
          <w:b/>
          <w:bCs/>
          <w:sz w:val="24"/>
          <w:szCs w:val="24"/>
        </w:rPr>
        <w:t>16.投标有效期</w:t>
      </w:r>
      <w:bookmarkEnd w:id="83"/>
      <w:bookmarkEnd w:id="84"/>
      <w:bookmarkEnd w:id="85"/>
    </w:p>
    <w:p>
      <w:pPr>
        <w:spacing w:line="440" w:lineRule="exact"/>
        <w:ind w:firstLine="480" w:firstLineChars="200"/>
        <w:rPr>
          <w:rFonts w:cs="宋体"/>
          <w:sz w:val="24"/>
          <w:szCs w:val="24"/>
        </w:rPr>
      </w:pPr>
      <w:r>
        <w:rPr>
          <w:rFonts w:hint="eastAsia" w:cs="宋体"/>
          <w:sz w:val="24"/>
          <w:szCs w:val="24"/>
        </w:rPr>
        <w:t>16.1 本项目投标有效期见投标人须知前附表12项。投标函的有效期比本须知规定的有效期短的，将被视为非响应性投标，该投标文件按无效投标处理。</w:t>
      </w:r>
    </w:p>
    <w:p>
      <w:pPr>
        <w:spacing w:line="440" w:lineRule="exact"/>
        <w:ind w:firstLine="480" w:firstLineChars="200"/>
        <w:rPr>
          <w:rFonts w:cs="宋体"/>
          <w:sz w:val="24"/>
          <w:szCs w:val="24"/>
        </w:rPr>
      </w:pPr>
      <w:r>
        <w:rPr>
          <w:rFonts w:hint="eastAsia" w:cs="宋体"/>
          <w:sz w:val="24"/>
          <w:szCs w:val="24"/>
        </w:rPr>
        <w:t>16.2 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pPr>
        <w:pStyle w:val="4"/>
        <w:numPr>
          <w:ilvl w:val="0"/>
          <w:numId w:val="0"/>
        </w:numPr>
        <w:spacing w:before="0" w:after="0" w:line="440" w:lineRule="exact"/>
        <w:jc w:val="center"/>
        <w:rPr>
          <w:rFonts w:ascii="Times New Roman" w:hAnsi="Times New Roman" w:eastAsia="宋体" w:cs="宋体"/>
          <w:sz w:val="28"/>
          <w:szCs w:val="28"/>
        </w:rPr>
      </w:pPr>
      <w:bookmarkStart w:id="86" w:name="_Toc51786888"/>
      <w:bookmarkStart w:id="87" w:name="_Toc2897"/>
      <w:bookmarkStart w:id="88" w:name="_Toc28787"/>
      <w:bookmarkStart w:id="89" w:name="_Toc49503547"/>
      <w:bookmarkStart w:id="90" w:name="_Toc23446"/>
      <w:r>
        <w:rPr>
          <w:rFonts w:hint="eastAsia" w:ascii="Times New Roman" w:hAnsi="Times New Roman" w:eastAsia="宋体" w:cs="宋体"/>
          <w:sz w:val="28"/>
          <w:szCs w:val="28"/>
        </w:rPr>
        <w:t>四、投标文件递交</w:t>
      </w:r>
      <w:bookmarkEnd w:id="86"/>
      <w:bookmarkEnd w:id="87"/>
      <w:bookmarkEnd w:id="88"/>
      <w:bookmarkEnd w:id="89"/>
      <w:bookmarkEnd w:id="90"/>
    </w:p>
    <w:p>
      <w:pPr>
        <w:spacing w:line="440" w:lineRule="exact"/>
        <w:ind w:firstLine="482" w:firstLineChars="200"/>
        <w:rPr>
          <w:rFonts w:cs="宋体"/>
          <w:b/>
          <w:bCs/>
          <w:sz w:val="24"/>
          <w:szCs w:val="24"/>
        </w:rPr>
      </w:pPr>
      <w:bookmarkStart w:id="91" w:name="_Toc346372896"/>
      <w:bookmarkStart w:id="92" w:name="_Toc346306749"/>
      <w:bookmarkStart w:id="93" w:name="_Toc352332870"/>
      <w:r>
        <w:rPr>
          <w:rFonts w:hint="eastAsia" w:cs="宋体"/>
          <w:b/>
          <w:bCs/>
          <w:sz w:val="24"/>
          <w:szCs w:val="24"/>
        </w:rPr>
        <w:t>17.投标文件递交时间和地点</w:t>
      </w:r>
      <w:bookmarkEnd w:id="91"/>
      <w:bookmarkEnd w:id="92"/>
      <w:bookmarkEnd w:id="93"/>
    </w:p>
    <w:p>
      <w:pPr>
        <w:spacing w:line="440" w:lineRule="exact"/>
        <w:ind w:firstLine="480" w:firstLineChars="200"/>
        <w:rPr>
          <w:rFonts w:cs="宋体"/>
          <w:sz w:val="24"/>
          <w:szCs w:val="24"/>
        </w:rPr>
      </w:pPr>
      <w:r>
        <w:rPr>
          <w:rFonts w:hint="eastAsia" w:cs="宋体"/>
          <w:sz w:val="24"/>
          <w:szCs w:val="24"/>
        </w:rPr>
        <w:t>17.1 投标文件递交时间、投标截止时间及地点详见投标人须知前附表第14项。</w:t>
      </w:r>
    </w:p>
    <w:p>
      <w:pPr>
        <w:spacing w:line="440" w:lineRule="exact"/>
        <w:ind w:firstLine="480" w:firstLineChars="200"/>
        <w:rPr>
          <w:rFonts w:cs="宋体"/>
          <w:sz w:val="24"/>
          <w:szCs w:val="24"/>
        </w:rPr>
      </w:pPr>
      <w:r>
        <w:rPr>
          <w:rFonts w:hint="eastAsia" w:cs="宋体"/>
          <w:sz w:val="24"/>
          <w:szCs w:val="24"/>
        </w:rPr>
        <w:t>17.2 投标人代表必须在投标截止时间前将投标文件送达指定地点。如因招标文件的修改推迟投标截止日期的，则按招标人另行通知规定的时间递交。</w:t>
      </w:r>
    </w:p>
    <w:p>
      <w:pPr>
        <w:spacing w:line="440" w:lineRule="exact"/>
        <w:ind w:firstLine="480" w:firstLineChars="200"/>
        <w:rPr>
          <w:rFonts w:cs="宋体"/>
          <w:sz w:val="24"/>
          <w:szCs w:val="24"/>
        </w:rPr>
      </w:pPr>
      <w:r>
        <w:rPr>
          <w:rFonts w:hint="eastAsia" w:cs="宋体"/>
          <w:sz w:val="24"/>
          <w:szCs w:val="24"/>
        </w:rPr>
        <w:t>17.3 招标人不接收投标截止时间后送达的投标文件。</w:t>
      </w:r>
    </w:p>
    <w:p>
      <w:pPr>
        <w:spacing w:line="440" w:lineRule="exact"/>
        <w:ind w:firstLine="482" w:firstLineChars="200"/>
        <w:rPr>
          <w:rFonts w:cs="宋体"/>
          <w:b/>
          <w:bCs/>
          <w:sz w:val="24"/>
          <w:szCs w:val="24"/>
        </w:rPr>
      </w:pPr>
      <w:bookmarkStart w:id="94" w:name="_Toc352332871"/>
      <w:bookmarkStart w:id="95" w:name="_Toc346372897"/>
      <w:bookmarkStart w:id="96" w:name="_Toc346306750"/>
      <w:r>
        <w:rPr>
          <w:rFonts w:hint="eastAsia" w:cs="宋体"/>
          <w:b/>
          <w:bCs/>
          <w:sz w:val="24"/>
          <w:szCs w:val="24"/>
        </w:rPr>
        <w:t>18.投标文件签收</w:t>
      </w:r>
      <w:bookmarkEnd w:id="94"/>
      <w:bookmarkEnd w:id="95"/>
      <w:bookmarkEnd w:id="96"/>
    </w:p>
    <w:p>
      <w:pPr>
        <w:spacing w:line="440" w:lineRule="exact"/>
        <w:ind w:firstLine="480" w:firstLineChars="200"/>
        <w:rPr>
          <w:rFonts w:cs="宋体"/>
          <w:sz w:val="24"/>
          <w:szCs w:val="24"/>
        </w:rPr>
      </w:pPr>
      <w:r>
        <w:rPr>
          <w:rFonts w:hint="eastAsia" w:cs="宋体"/>
          <w:sz w:val="24"/>
          <w:szCs w:val="24"/>
        </w:rPr>
        <w:t>18.1 本项目只接受现场递交书面形式的投标，其他形式的投标不予接收。</w:t>
      </w:r>
    </w:p>
    <w:p>
      <w:pPr>
        <w:spacing w:line="440" w:lineRule="exact"/>
        <w:ind w:firstLine="480" w:firstLineChars="200"/>
        <w:rPr>
          <w:rFonts w:cs="宋体"/>
          <w:sz w:val="24"/>
          <w:szCs w:val="24"/>
        </w:rPr>
      </w:pPr>
      <w:r>
        <w:rPr>
          <w:rFonts w:hint="eastAsia" w:cs="宋体"/>
          <w:sz w:val="24"/>
          <w:szCs w:val="24"/>
        </w:rPr>
        <w:t>18.2 投标截止时间后对投标人已提交的投标文件不予退还。</w:t>
      </w:r>
    </w:p>
    <w:p>
      <w:pPr>
        <w:spacing w:line="440" w:lineRule="exact"/>
        <w:ind w:firstLine="482" w:firstLineChars="200"/>
        <w:rPr>
          <w:rFonts w:cs="宋体"/>
          <w:b/>
          <w:bCs/>
          <w:sz w:val="24"/>
          <w:szCs w:val="24"/>
        </w:rPr>
      </w:pPr>
      <w:bookmarkStart w:id="97" w:name="_Toc346306751"/>
      <w:bookmarkStart w:id="98" w:name="_Toc346372898"/>
      <w:bookmarkStart w:id="99" w:name="_Toc352332872"/>
      <w:r>
        <w:rPr>
          <w:rFonts w:hint="eastAsia" w:cs="宋体"/>
          <w:b/>
          <w:bCs/>
          <w:sz w:val="24"/>
          <w:szCs w:val="24"/>
        </w:rPr>
        <w:t>19.投标文件修改与撤回</w:t>
      </w:r>
      <w:bookmarkEnd w:id="97"/>
      <w:bookmarkEnd w:id="98"/>
      <w:bookmarkEnd w:id="99"/>
    </w:p>
    <w:p>
      <w:pPr>
        <w:spacing w:line="440" w:lineRule="exact"/>
        <w:ind w:firstLine="480" w:firstLineChars="200"/>
        <w:rPr>
          <w:rFonts w:cs="宋体"/>
          <w:sz w:val="24"/>
          <w:szCs w:val="24"/>
        </w:rPr>
      </w:pPr>
      <w:r>
        <w:rPr>
          <w:rFonts w:hint="eastAsia" w:cs="宋体"/>
          <w:sz w:val="24"/>
          <w:szCs w:val="24"/>
        </w:rPr>
        <w:t>19.1投标人在招标文件要求提交投标文件的截止时间前，可以修改或者撤回已提交的投标文件，并书面形式通知招标人。</w:t>
      </w:r>
    </w:p>
    <w:p>
      <w:pPr>
        <w:spacing w:line="440" w:lineRule="exact"/>
        <w:ind w:firstLine="480" w:firstLineChars="200"/>
        <w:rPr>
          <w:rFonts w:cs="宋体"/>
          <w:sz w:val="24"/>
          <w:szCs w:val="24"/>
        </w:rPr>
      </w:pPr>
      <w:r>
        <w:rPr>
          <w:rFonts w:hint="eastAsia" w:cs="宋体"/>
          <w:sz w:val="24"/>
          <w:szCs w:val="24"/>
        </w:rPr>
        <w:t>19.2 任何修改内容必须由投标人的法定代表人或其授权代理人签字，不得涂抹。经法定代表人或其授权代理人正式签署的修改文件组成投标文件的一部分，份数和密封要求同投标文件一致。</w:t>
      </w:r>
    </w:p>
    <w:p>
      <w:pPr>
        <w:spacing w:line="440" w:lineRule="exact"/>
        <w:ind w:firstLine="480" w:firstLineChars="200"/>
        <w:rPr>
          <w:rFonts w:cs="宋体"/>
          <w:sz w:val="24"/>
          <w:szCs w:val="24"/>
        </w:rPr>
      </w:pPr>
      <w:r>
        <w:rPr>
          <w:rFonts w:hint="eastAsia" w:cs="宋体"/>
          <w:sz w:val="24"/>
          <w:szCs w:val="24"/>
        </w:rPr>
        <w:t>19.3 投标截止时间后不允许对投标文件做实质性修改。</w:t>
      </w:r>
    </w:p>
    <w:p>
      <w:pPr>
        <w:spacing w:line="440" w:lineRule="exact"/>
        <w:ind w:firstLine="480" w:firstLineChars="200"/>
        <w:rPr>
          <w:rFonts w:cs="宋体"/>
          <w:sz w:val="24"/>
          <w:szCs w:val="24"/>
        </w:rPr>
      </w:pPr>
      <w:r>
        <w:rPr>
          <w:rFonts w:hint="eastAsia" w:cs="宋体"/>
          <w:sz w:val="24"/>
          <w:szCs w:val="24"/>
        </w:rPr>
        <w:t>19.4投标有效期内不得撤回投标。</w:t>
      </w:r>
    </w:p>
    <w:p>
      <w:pPr>
        <w:pStyle w:val="4"/>
        <w:numPr>
          <w:ilvl w:val="0"/>
          <w:numId w:val="0"/>
        </w:numPr>
        <w:spacing w:before="0" w:after="0" w:line="440" w:lineRule="exact"/>
        <w:jc w:val="center"/>
        <w:rPr>
          <w:rFonts w:ascii="Times New Roman" w:hAnsi="Times New Roman" w:eastAsia="宋体" w:cs="宋体"/>
          <w:sz w:val="28"/>
          <w:szCs w:val="28"/>
        </w:rPr>
      </w:pPr>
      <w:bookmarkStart w:id="100" w:name="_Toc30366"/>
      <w:bookmarkStart w:id="101" w:name="_Toc51786889"/>
      <w:bookmarkStart w:id="102" w:name="_Toc903"/>
      <w:bookmarkStart w:id="103" w:name="_Toc49503548"/>
      <w:bookmarkStart w:id="104" w:name="_Toc25792"/>
      <w:r>
        <w:rPr>
          <w:rFonts w:hint="eastAsia" w:ascii="Times New Roman" w:hAnsi="Times New Roman" w:eastAsia="宋体" w:cs="宋体"/>
          <w:sz w:val="28"/>
          <w:szCs w:val="28"/>
        </w:rPr>
        <w:t>五、开标与评标</w:t>
      </w:r>
      <w:bookmarkEnd w:id="100"/>
      <w:bookmarkEnd w:id="101"/>
      <w:bookmarkEnd w:id="102"/>
      <w:bookmarkEnd w:id="103"/>
      <w:bookmarkEnd w:id="104"/>
    </w:p>
    <w:p>
      <w:pPr>
        <w:spacing w:line="440" w:lineRule="exact"/>
        <w:ind w:firstLine="482" w:firstLineChars="200"/>
        <w:rPr>
          <w:rFonts w:cs="宋体"/>
          <w:b/>
          <w:bCs/>
          <w:sz w:val="24"/>
          <w:szCs w:val="24"/>
        </w:rPr>
      </w:pPr>
      <w:bookmarkStart w:id="105" w:name="_Toc346372900"/>
      <w:bookmarkStart w:id="106" w:name="_Toc346306753"/>
      <w:bookmarkStart w:id="107" w:name="_Toc352332874"/>
      <w:r>
        <w:rPr>
          <w:rFonts w:hint="eastAsia" w:cs="宋体"/>
          <w:b/>
          <w:bCs/>
          <w:sz w:val="24"/>
          <w:szCs w:val="24"/>
        </w:rPr>
        <w:t>20.</w:t>
      </w:r>
      <w:bookmarkEnd w:id="105"/>
      <w:bookmarkEnd w:id="106"/>
      <w:bookmarkEnd w:id="107"/>
      <w:bookmarkStart w:id="108" w:name="_Toc212369527"/>
      <w:r>
        <w:rPr>
          <w:rFonts w:hint="eastAsia" w:cs="宋体"/>
          <w:b/>
          <w:bCs/>
          <w:sz w:val="24"/>
          <w:szCs w:val="24"/>
        </w:rPr>
        <w:t>开标</w:t>
      </w:r>
      <w:bookmarkEnd w:id="108"/>
      <w:r>
        <w:rPr>
          <w:rFonts w:hint="eastAsia" w:cs="宋体"/>
          <w:b/>
          <w:bCs/>
          <w:sz w:val="24"/>
          <w:szCs w:val="24"/>
        </w:rPr>
        <w:t>及评标</w:t>
      </w:r>
    </w:p>
    <w:p>
      <w:pPr>
        <w:spacing w:line="440" w:lineRule="exact"/>
        <w:ind w:firstLine="480" w:firstLineChars="200"/>
        <w:rPr>
          <w:rFonts w:cs="宋体"/>
          <w:sz w:val="24"/>
          <w:szCs w:val="24"/>
        </w:rPr>
      </w:pPr>
      <w:r>
        <w:rPr>
          <w:rFonts w:hint="eastAsia" w:cs="宋体"/>
          <w:sz w:val="24"/>
          <w:szCs w:val="24"/>
        </w:rPr>
        <w:t>20.1评标工作由招标人为该项目依法组织的、由三人及以上单数成员（视标的额大小按规定确定专家人数）组成的评标专家小组负责，即由评标专家小组按照国家招投标有关规定，本着公平、公正、公开、有序的原则，在最大限度地满足招标文件实质性要求的前提下，按照招标文件中规定的各项因素进行综合评审。</w:t>
      </w:r>
    </w:p>
    <w:p>
      <w:pPr>
        <w:spacing w:line="440" w:lineRule="exact"/>
        <w:ind w:firstLine="480" w:firstLineChars="200"/>
        <w:rPr>
          <w:rFonts w:cs="宋体"/>
          <w:sz w:val="24"/>
          <w:szCs w:val="24"/>
        </w:rPr>
      </w:pPr>
      <w:r>
        <w:rPr>
          <w:rFonts w:hint="eastAsia" w:cs="宋体"/>
          <w:sz w:val="24"/>
          <w:szCs w:val="24"/>
        </w:rPr>
        <w:t>20.2</w:t>
      </w:r>
      <w:r>
        <w:rPr>
          <w:rFonts w:hint="eastAsia" w:cs="宋体"/>
          <w:b/>
          <w:bCs/>
          <w:sz w:val="24"/>
          <w:szCs w:val="24"/>
        </w:rPr>
        <w:t>本项目无技术标评审</w:t>
      </w:r>
      <w:r>
        <w:rPr>
          <w:rFonts w:hint="eastAsia" w:cs="宋体"/>
          <w:sz w:val="24"/>
          <w:szCs w:val="24"/>
        </w:rPr>
        <w:t>，按照标书中规定的详细技术配置清单提供相应的产品和服务，在满足统一入围供方技术标准、重要技术配置、同水平品牌（不得指定）进入商务标，商务标原则上按照</w:t>
      </w:r>
      <w:r>
        <w:rPr>
          <w:rFonts w:hint="eastAsia" w:cs="宋体"/>
          <w:b/>
          <w:bCs/>
          <w:sz w:val="24"/>
          <w:szCs w:val="24"/>
        </w:rPr>
        <w:t>合理最低价选择中标厂家</w:t>
      </w:r>
      <w:r>
        <w:rPr>
          <w:rFonts w:hint="eastAsia" w:cs="宋体"/>
          <w:sz w:val="24"/>
          <w:szCs w:val="24"/>
        </w:rPr>
        <w:t>，项目评标采取投标单位多轮报价逐级淘汰的方式。</w:t>
      </w:r>
    </w:p>
    <w:p>
      <w:pPr>
        <w:spacing w:line="440" w:lineRule="exact"/>
        <w:ind w:firstLine="480" w:firstLineChars="200"/>
        <w:rPr>
          <w:rFonts w:cs="宋体"/>
          <w:sz w:val="24"/>
          <w:szCs w:val="24"/>
        </w:rPr>
      </w:pPr>
      <w:r>
        <w:rPr>
          <w:rFonts w:hint="eastAsia" w:cs="宋体"/>
          <w:sz w:val="24"/>
          <w:szCs w:val="24"/>
        </w:rPr>
        <w:t>20.3本项目开标时间和地点见投标人须知前附表。开标会议由招标人组织并主持。招标人邀请各投标人派员参加开标会议。投标人未参加开标的，视同认可开标结果。</w:t>
      </w:r>
    </w:p>
    <w:p>
      <w:pPr>
        <w:spacing w:line="440" w:lineRule="exact"/>
        <w:ind w:firstLine="480" w:firstLineChars="200"/>
        <w:rPr>
          <w:rFonts w:cs="宋体"/>
          <w:sz w:val="24"/>
          <w:szCs w:val="24"/>
        </w:rPr>
      </w:pPr>
      <w:r>
        <w:rPr>
          <w:rFonts w:hint="eastAsia" w:cs="宋体"/>
          <w:sz w:val="24"/>
          <w:szCs w:val="24"/>
        </w:rPr>
        <w:t>20.4开标程序</w:t>
      </w:r>
    </w:p>
    <w:p>
      <w:pPr>
        <w:spacing w:line="440" w:lineRule="exact"/>
        <w:ind w:firstLine="480" w:firstLineChars="200"/>
        <w:rPr>
          <w:rFonts w:cs="宋体"/>
          <w:sz w:val="24"/>
          <w:szCs w:val="24"/>
        </w:rPr>
      </w:pPr>
      <w:r>
        <w:rPr>
          <w:rFonts w:hint="eastAsia" w:cs="宋体"/>
          <w:sz w:val="24"/>
          <w:szCs w:val="24"/>
        </w:rPr>
        <w:t>（1）宣布开标会议开始。</w:t>
      </w:r>
    </w:p>
    <w:p>
      <w:pPr>
        <w:spacing w:line="440" w:lineRule="exact"/>
        <w:ind w:firstLine="480" w:firstLineChars="200"/>
        <w:rPr>
          <w:rFonts w:cs="宋体"/>
          <w:sz w:val="24"/>
          <w:szCs w:val="24"/>
        </w:rPr>
      </w:pPr>
      <w:r>
        <w:rPr>
          <w:rFonts w:hint="eastAsia" w:cs="宋体"/>
          <w:sz w:val="24"/>
          <w:szCs w:val="24"/>
        </w:rPr>
        <w:t>（2）介绍与会人员。</w:t>
      </w:r>
    </w:p>
    <w:p>
      <w:pPr>
        <w:spacing w:line="440" w:lineRule="exact"/>
        <w:ind w:firstLine="480" w:firstLineChars="200"/>
        <w:rPr>
          <w:rFonts w:cs="宋体"/>
          <w:sz w:val="24"/>
          <w:szCs w:val="24"/>
        </w:rPr>
      </w:pPr>
      <w:r>
        <w:rPr>
          <w:rFonts w:hint="eastAsia" w:cs="宋体"/>
          <w:sz w:val="24"/>
          <w:szCs w:val="24"/>
        </w:rPr>
        <w:t>（3）核验投标人资格证件，内容详见投标人须知前附表。</w:t>
      </w:r>
    </w:p>
    <w:p>
      <w:pPr>
        <w:spacing w:line="440" w:lineRule="exact"/>
        <w:ind w:firstLine="480" w:firstLineChars="200"/>
        <w:rPr>
          <w:rFonts w:cs="宋体"/>
          <w:sz w:val="24"/>
          <w:szCs w:val="24"/>
        </w:rPr>
      </w:pPr>
      <w:r>
        <w:rPr>
          <w:rFonts w:hint="eastAsia" w:cs="宋体"/>
          <w:sz w:val="24"/>
          <w:szCs w:val="24"/>
        </w:rPr>
        <w:t>（4）投标人或投标人推选的代表对投标文件密封情况进行检查（投标人未参加开标会议的，视同认可投标文件密封完好）。</w:t>
      </w:r>
    </w:p>
    <w:p>
      <w:pPr>
        <w:spacing w:line="440" w:lineRule="exact"/>
        <w:ind w:firstLine="480" w:firstLineChars="200"/>
        <w:rPr>
          <w:rFonts w:cs="宋体"/>
          <w:sz w:val="24"/>
          <w:szCs w:val="24"/>
        </w:rPr>
      </w:pPr>
      <w:r>
        <w:rPr>
          <w:rFonts w:hint="eastAsia" w:cs="宋体"/>
          <w:sz w:val="24"/>
          <w:szCs w:val="24"/>
        </w:rPr>
        <w:t>（5）经确认无误后，由工作人员当众拆封，先拆启资质标书，报价一览表及商务标书暂时不拆启，由招标人指定专人保管。由监标人对所有投标人的资质标书进行审核，审核确定满足招标要求后进入商务标评标阶段。</w:t>
      </w:r>
    </w:p>
    <w:p>
      <w:pPr>
        <w:spacing w:line="440" w:lineRule="exact"/>
        <w:ind w:firstLine="480" w:firstLineChars="200"/>
        <w:rPr>
          <w:rFonts w:cs="宋体"/>
          <w:sz w:val="24"/>
          <w:szCs w:val="24"/>
        </w:rPr>
      </w:pPr>
      <w:r>
        <w:rPr>
          <w:rFonts w:hint="eastAsia" w:cs="宋体"/>
          <w:sz w:val="24"/>
          <w:szCs w:val="24"/>
        </w:rPr>
        <w:t>（6）根据资质标评审结果，通知未进入商务标评标资格的投标人离场，当众拆启进入商务标评标资格单位的报价一览表，宣读投标人名称、投标价格和投标文件的其他主要内容，投标人授权代表现场确认无误后进行商务标的评标，招标人有权根据项目情况，采取多级评标模式，最终确定投标人排序。</w:t>
      </w:r>
    </w:p>
    <w:p>
      <w:pPr>
        <w:spacing w:line="440" w:lineRule="exact"/>
        <w:ind w:firstLine="480" w:firstLineChars="200"/>
        <w:rPr>
          <w:rFonts w:cs="宋体"/>
          <w:sz w:val="24"/>
          <w:szCs w:val="24"/>
        </w:rPr>
      </w:pPr>
      <w:r>
        <w:rPr>
          <w:rFonts w:hint="eastAsia" w:cs="宋体"/>
          <w:sz w:val="24"/>
          <w:szCs w:val="24"/>
        </w:rPr>
        <w:t>投标前请各投标人按照招标文件要求对项目方案进行充分准备，投标人已默认认可上述开标、评标过程，无异议。招标人无义务对未入围投标人做任何解释。</w:t>
      </w:r>
    </w:p>
    <w:p>
      <w:pPr>
        <w:spacing w:line="440" w:lineRule="exact"/>
        <w:ind w:firstLine="482" w:firstLineChars="200"/>
        <w:rPr>
          <w:rFonts w:cs="宋体"/>
          <w:b/>
          <w:bCs/>
          <w:sz w:val="24"/>
          <w:szCs w:val="24"/>
        </w:rPr>
      </w:pPr>
      <w:bookmarkStart w:id="109" w:name="_Toc92678127"/>
      <w:r>
        <w:rPr>
          <w:rFonts w:hint="eastAsia" w:cs="宋体"/>
          <w:b/>
          <w:bCs/>
          <w:sz w:val="24"/>
          <w:szCs w:val="24"/>
        </w:rPr>
        <w:t>21.评标委员会</w:t>
      </w:r>
      <w:bookmarkEnd w:id="109"/>
    </w:p>
    <w:p>
      <w:pPr>
        <w:spacing w:line="440" w:lineRule="exact"/>
        <w:ind w:firstLine="480" w:firstLineChars="200"/>
        <w:rPr>
          <w:rFonts w:cs="宋体"/>
          <w:sz w:val="24"/>
          <w:szCs w:val="24"/>
        </w:rPr>
      </w:pPr>
      <w:r>
        <w:rPr>
          <w:rFonts w:hint="eastAsia" w:cs="宋体"/>
          <w:sz w:val="24"/>
          <w:szCs w:val="24"/>
        </w:rPr>
        <w:t>评标委员会的组成见投标人须知前附表，评标委员会负责对投标文件进行审查、质疑、评标，提出书面评标报告，并向招标人推荐中标候选人排序名单。</w:t>
      </w:r>
    </w:p>
    <w:p>
      <w:pPr>
        <w:spacing w:line="440" w:lineRule="exact"/>
        <w:ind w:firstLine="482" w:firstLineChars="200"/>
        <w:rPr>
          <w:rFonts w:cs="宋体"/>
          <w:b/>
          <w:bCs/>
          <w:sz w:val="24"/>
          <w:szCs w:val="24"/>
        </w:rPr>
      </w:pPr>
      <w:bookmarkStart w:id="110" w:name="_Toc212369528"/>
      <w:bookmarkStart w:id="111" w:name="_Toc92678128"/>
      <w:r>
        <w:rPr>
          <w:rFonts w:hint="eastAsia" w:cs="宋体"/>
          <w:b/>
          <w:bCs/>
          <w:sz w:val="24"/>
          <w:szCs w:val="24"/>
        </w:rPr>
        <w:t>22.评标原则</w:t>
      </w:r>
      <w:bookmarkEnd w:id="110"/>
      <w:bookmarkEnd w:id="111"/>
    </w:p>
    <w:p>
      <w:pPr>
        <w:spacing w:line="440" w:lineRule="exact"/>
        <w:ind w:firstLine="480" w:firstLineChars="200"/>
        <w:rPr>
          <w:rFonts w:cs="宋体"/>
          <w:sz w:val="24"/>
          <w:szCs w:val="24"/>
        </w:rPr>
      </w:pPr>
      <w:bookmarkStart w:id="112" w:name="_Toc212369529"/>
      <w:r>
        <w:rPr>
          <w:rFonts w:hint="eastAsia" w:cs="宋体"/>
          <w:sz w:val="24"/>
          <w:szCs w:val="24"/>
        </w:rPr>
        <w:t>“公平、公正、科学、择优”为本次评标的基本原则，评标委员会按照这一原则的要求，公正、平等地对待各投标人。同时，在评标过程中恪守以下原则：</w:t>
      </w:r>
      <w:bookmarkEnd w:id="112"/>
    </w:p>
    <w:p>
      <w:pPr>
        <w:spacing w:line="440" w:lineRule="exact"/>
        <w:ind w:firstLine="480" w:firstLineChars="200"/>
        <w:rPr>
          <w:rFonts w:cs="宋体"/>
          <w:sz w:val="24"/>
          <w:szCs w:val="24"/>
        </w:rPr>
      </w:pPr>
      <w:r>
        <w:rPr>
          <w:rFonts w:hint="eastAsia" w:cs="宋体"/>
          <w:sz w:val="24"/>
          <w:szCs w:val="24"/>
        </w:rPr>
        <w:t>22.1 客观性原则：评标委员会将严格按照招标文件要求的内容，对投标人的投标文件进行认真评审；评标委员会对投标文件的评审仅依据投标文件本身，而不依靠投标文件以外的任何因素；</w:t>
      </w:r>
    </w:p>
    <w:p>
      <w:pPr>
        <w:spacing w:line="440" w:lineRule="exact"/>
        <w:ind w:firstLine="480" w:firstLineChars="200"/>
        <w:rPr>
          <w:rFonts w:cs="宋体"/>
          <w:sz w:val="24"/>
          <w:szCs w:val="24"/>
        </w:rPr>
      </w:pPr>
      <w:r>
        <w:rPr>
          <w:rFonts w:hint="eastAsia" w:cs="宋体"/>
          <w:sz w:val="24"/>
          <w:szCs w:val="24"/>
        </w:rPr>
        <w:t>22.2统一性原则：评标委员会将按照统一的评标原则和评标办法，用同一标准进行评审。</w:t>
      </w:r>
    </w:p>
    <w:p>
      <w:pPr>
        <w:spacing w:line="440" w:lineRule="exact"/>
        <w:ind w:firstLine="480" w:firstLineChars="200"/>
        <w:rPr>
          <w:rFonts w:cs="宋体"/>
          <w:sz w:val="24"/>
          <w:szCs w:val="24"/>
        </w:rPr>
      </w:pPr>
      <w:r>
        <w:rPr>
          <w:rFonts w:hint="eastAsia" w:cs="宋体"/>
          <w:sz w:val="24"/>
          <w:szCs w:val="24"/>
        </w:rPr>
        <w:t>22.3独立性原则：评标工作在评标委员会内部独立进行，不受外界任何因素的干扰和影响。评标委员会成员对出具的评审意见承担个人责任。</w:t>
      </w:r>
    </w:p>
    <w:p>
      <w:pPr>
        <w:spacing w:line="440" w:lineRule="exact"/>
        <w:ind w:firstLine="480" w:firstLineChars="200"/>
        <w:rPr>
          <w:rFonts w:cs="宋体"/>
          <w:sz w:val="24"/>
          <w:szCs w:val="24"/>
        </w:rPr>
      </w:pPr>
      <w:r>
        <w:rPr>
          <w:rFonts w:hint="eastAsia" w:cs="宋体"/>
          <w:sz w:val="24"/>
          <w:szCs w:val="24"/>
        </w:rPr>
        <w:t>22.4保密性原则：招标人应当采取必要的措施，保证评标在严格保密的情况下进行。</w:t>
      </w:r>
    </w:p>
    <w:p>
      <w:pPr>
        <w:spacing w:line="440" w:lineRule="exact"/>
        <w:ind w:firstLine="480" w:firstLineChars="200"/>
        <w:rPr>
          <w:rFonts w:cs="宋体"/>
          <w:sz w:val="24"/>
          <w:szCs w:val="24"/>
        </w:rPr>
      </w:pPr>
      <w:r>
        <w:rPr>
          <w:rFonts w:hint="eastAsia" w:cs="宋体"/>
          <w:sz w:val="24"/>
          <w:szCs w:val="24"/>
        </w:rPr>
        <w:t>22.5综合性原则：评标委员会将综合分析、评审投标人的各项指标，而不以单项指标的优劣评定出中标人。</w:t>
      </w:r>
    </w:p>
    <w:p>
      <w:pPr>
        <w:pStyle w:val="4"/>
        <w:numPr>
          <w:ilvl w:val="0"/>
          <w:numId w:val="0"/>
        </w:numPr>
        <w:spacing w:before="0" w:after="0" w:line="440" w:lineRule="exact"/>
        <w:jc w:val="center"/>
        <w:rPr>
          <w:rFonts w:ascii="Times New Roman" w:hAnsi="Times New Roman" w:eastAsia="宋体" w:cs="宋体"/>
          <w:sz w:val="28"/>
          <w:szCs w:val="28"/>
        </w:rPr>
      </w:pPr>
      <w:bookmarkStart w:id="113" w:name="_Toc51786890"/>
      <w:bookmarkStart w:id="114" w:name="_Toc17946"/>
      <w:bookmarkStart w:id="115" w:name="_Toc17523"/>
      <w:bookmarkStart w:id="116" w:name="_Toc49503549"/>
      <w:bookmarkStart w:id="117" w:name="_Toc24628"/>
      <w:r>
        <w:rPr>
          <w:rFonts w:hint="eastAsia" w:ascii="Times New Roman" w:hAnsi="Times New Roman" w:eastAsia="宋体" w:cs="宋体"/>
          <w:sz w:val="28"/>
          <w:szCs w:val="28"/>
        </w:rPr>
        <w:t>六、授予合同</w:t>
      </w:r>
      <w:bookmarkEnd w:id="113"/>
      <w:bookmarkEnd w:id="114"/>
      <w:bookmarkEnd w:id="115"/>
      <w:bookmarkEnd w:id="116"/>
      <w:bookmarkEnd w:id="117"/>
    </w:p>
    <w:p>
      <w:pPr>
        <w:spacing w:line="440" w:lineRule="exact"/>
        <w:ind w:firstLine="482" w:firstLineChars="200"/>
        <w:rPr>
          <w:rFonts w:cs="宋体"/>
          <w:b/>
          <w:bCs/>
          <w:sz w:val="24"/>
          <w:szCs w:val="24"/>
        </w:rPr>
      </w:pPr>
      <w:r>
        <w:rPr>
          <w:rFonts w:hint="eastAsia" w:cs="宋体"/>
          <w:b/>
          <w:bCs/>
          <w:sz w:val="24"/>
          <w:szCs w:val="24"/>
        </w:rPr>
        <w:t>23.定标</w:t>
      </w:r>
    </w:p>
    <w:p>
      <w:pPr>
        <w:spacing w:line="440" w:lineRule="exact"/>
        <w:ind w:firstLine="480" w:firstLineChars="200"/>
        <w:rPr>
          <w:rFonts w:cs="宋体"/>
          <w:sz w:val="24"/>
          <w:szCs w:val="24"/>
        </w:rPr>
      </w:pPr>
      <w:r>
        <w:rPr>
          <w:rFonts w:hint="eastAsia" w:cs="宋体"/>
          <w:sz w:val="24"/>
          <w:szCs w:val="24"/>
        </w:rPr>
        <w:t>23.1招标人对评标委员会推荐的中标候选人进行审查。</w:t>
      </w:r>
    </w:p>
    <w:p>
      <w:pPr>
        <w:spacing w:line="440" w:lineRule="exact"/>
        <w:ind w:firstLine="480" w:firstLineChars="200"/>
        <w:rPr>
          <w:rFonts w:cs="宋体"/>
          <w:sz w:val="24"/>
          <w:szCs w:val="24"/>
        </w:rPr>
      </w:pPr>
      <w:r>
        <w:rPr>
          <w:rFonts w:hint="eastAsia" w:cs="宋体"/>
          <w:sz w:val="24"/>
          <w:szCs w:val="24"/>
        </w:rPr>
        <w:t>23.2最终审查的对象是招标项目的中标候选人。</w:t>
      </w:r>
    </w:p>
    <w:p>
      <w:pPr>
        <w:spacing w:line="440" w:lineRule="exact"/>
        <w:ind w:firstLine="480" w:firstLineChars="200"/>
        <w:rPr>
          <w:rFonts w:cs="宋体"/>
          <w:sz w:val="24"/>
          <w:szCs w:val="24"/>
        </w:rPr>
      </w:pPr>
      <w:r>
        <w:rPr>
          <w:rFonts w:hint="eastAsia" w:cs="宋体"/>
          <w:sz w:val="24"/>
          <w:szCs w:val="24"/>
        </w:rPr>
        <w:t>23.3最终审查的内容是对中标候选人所报货物的产品性能及性价比、安装方案、调试方案、技术状况、生产条件、产品质量、交付时间、投标人信誉以及招标人认为有必要了解的其它问题作进一步的审查或了解。</w:t>
      </w:r>
    </w:p>
    <w:p>
      <w:pPr>
        <w:spacing w:line="440" w:lineRule="exact"/>
        <w:ind w:firstLine="480" w:firstLineChars="200"/>
        <w:rPr>
          <w:rFonts w:cs="宋体"/>
          <w:sz w:val="24"/>
          <w:szCs w:val="24"/>
        </w:rPr>
      </w:pPr>
      <w:r>
        <w:rPr>
          <w:rFonts w:hint="eastAsia" w:cs="宋体"/>
          <w:sz w:val="24"/>
          <w:szCs w:val="24"/>
        </w:rPr>
        <w:t>23.4最终审查的方式：</w:t>
      </w:r>
    </w:p>
    <w:p>
      <w:pPr>
        <w:spacing w:line="440" w:lineRule="exact"/>
        <w:ind w:firstLine="480" w:firstLineChars="200"/>
        <w:rPr>
          <w:rFonts w:cs="宋体"/>
          <w:sz w:val="24"/>
          <w:szCs w:val="24"/>
        </w:rPr>
      </w:pPr>
      <w:r>
        <w:rPr>
          <w:rFonts w:hint="eastAsia" w:cs="宋体"/>
          <w:sz w:val="24"/>
          <w:szCs w:val="24"/>
        </w:rPr>
        <w:t>对中标候选人进行询问或对中标候选人进行实地考察。</w:t>
      </w:r>
    </w:p>
    <w:p>
      <w:pPr>
        <w:spacing w:line="440" w:lineRule="exact"/>
        <w:ind w:firstLine="480" w:firstLineChars="200"/>
        <w:rPr>
          <w:rFonts w:cs="宋体"/>
          <w:sz w:val="24"/>
          <w:szCs w:val="24"/>
        </w:rPr>
      </w:pPr>
      <w:r>
        <w:rPr>
          <w:rFonts w:hint="eastAsia" w:cs="宋体"/>
          <w:sz w:val="24"/>
          <w:szCs w:val="24"/>
        </w:rPr>
        <w:t>23.5接受最终审查的中标候选人，必须如实回答招标人的询问并受理招标人的考察，并提供产品检测报告(复印件加盖公章)、主要设备的生产许可证或强制性认证证书。</w:t>
      </w:r>
    </w:p>
    <w:p>
      <w:pPr>
        <w:spacing w:line="440" w:lineRule="exact"/>
        <w:ind w:firstLine="480" w:firstLineChars="200"/>
        <w:rPr>
          <w:rFonts w:cs="宋体"/>
          <w:sz w:val="24"/>
          <w:szCs w:val="24"/>
        </w:rPr>
      </w:pPr>
      <w:r>
        <w:rPr>
          <w:rFonts w:hint="eastAsia" w:cs="宋体"/>
          <w:sz w:val="24"/>
          <w:szCs w:val="24"/>
        </w:rPr>
        <w:t>23.6通过对中标候选人的最终审查确定中标人。</w:t>
      </w:r>
    </w:p>
    <w:p>
      <w:pPr>
        <w:spacing w:line="440" w:lineRule="exact"/>
        <w:ind w:firstLine="482" w:firstLineChars="200"/>
        <w:rPr>
          <w:rFonts w:cs="宋体"/>
          <w:b/>
          <w:bCs/>
          <w:sz w:val="24"/>
          <w:szCs w:val="24"/>
        </w:rPr>
      </w:pPr>
      <w:r>
        <w:rPr>
          <w:rFonts w:hint="eastAsia" w:cs="宋体"/>
          <w:b/>
          <w:bCs/>
          <w:sz w:val="24"/>
          <w:szCs w:val="24"/>
        </w:rPr>
        <w:t>24.招标人在授标时有变更数量的权利。</w:t>
      </w:r>
    </w:p>
    <w:p>
      <w:pPr>
        <w:spacing w:line="440" w:lineRule="exact"/>
        <w:ind w:firstLine="480" w:firstLineChars="200"/>
        <w:rPr>
          <w:rFonts w:cs="宋体"/>
          <w:sz w:val="24"/>
          <w:szCs w:val="24"/>
        </w:rPr>
      </w:pPr>
      <w:r>
        <w:rPr>
          <w:rFonts w:hint="eastAsia" w:cs="宋体"/>
          <w:sz w:val="24"/>
          <w:szCs w:val="24"/>
        </w:rPr>
        <w:t>在向投标人授予中标通知书时，在单位产品价格不变的情况下招标人有变更工程量的权利。</w:t>
      </w:r>
    </w:p>
    <w:p>
      <w:pPr>
        <w:spacing w:line="440" w:lineRule="exact"/>
        <w:ind w:firstLine="482" w:firstLineChars="200"/>
        <w:rPr>
          <w:rFonts w:cs="宋体"/>
          <w:sz w:val="24"/>
          <w:szCs w:val="24"/>
        </w:rPr>
      </w:pPr>
      <w:r>
        <w:rPr>
          <w:rFonts w:hint="eastAsia" w:cs="宋体"/>
          <w:b/>
          <w:bCs/>
          <w:sz w:val="24"/>
          <w:szCs w:val="24"/>
        </w:rPr>
        <w:t>25.招标人有接受和拒绝任何一个或所有投标的权利，</w:t>
      </w:r>
      <w:r>
        <w:rPr>
          <w:rFonts w:hint="eastAsia" w:cs="宋体"/>
          <w:sz w:val="24"/>
          <w:szCs w:val="24"/>
        </w:rPr>
        <w:t>招标人在中标通知书发出之前任何时候仍有选择或拒绝任何投标人中标或宣布招标无效的权利。对受影响的投标人不承担任何责任，也无义务向受影响的投标人解释采取这一行动的理由。</w:t>
      </w:r>
    </w:p>
    <w:p>
      <w:pPr>
        <w:spacing w:line="440" w:lineRule="exact"/>
        <w:ind w:firstLine="482" w:firstLineChars="200"/>
        <w:rPr>
          <w:rFonts w:cs="宋体"/>
          <w:b/>
          <w:bCs/>
          <w:sz w:val="24"/>
          <w:szCs w:val="24"/>
        </w:rPr>
      </w:pPr>
      <w:r>
        <w:rPr>
          <w:rFonts w:hint="eastAsia" w:cs="宋体"/>
          <w:b/>
          <w:bCs/>
          <w:sz w:val="24"/>
          <w:szCs w:val="24"/>
        </w:rPr>
        <w:t>26.中标通知</w:t>
      </w:r>
    </w:p>
    <w:p>
      <w:pPr>
        <w:spacing w:line="440" w:lineRule="exact"/>
        <w:ind w:firstLine="480" w:firstLineChars="200"/>
        <w:rPr>
          <w:rFonts w:cs="宋体"/>
          <w:sz w:val="24"/>
          <w:szCs w:val="24"/>
        </w:rPr>
      </w:pPr>
      <w:r>
        <w:rPr>
          <w:rFonts w:hint="eastAsia" w:cs="宋体"/>
          <w:sz w:val="24"/>
          <w:szCs w:val="24"/>
        </w:rPr>
        <w:t>26.1确定中标结果后，招标人向中标人签发《中标通知书》。</w:t>
      </w:r>
    </w:p>
    <w:p>
      <w:pPr>
        <w:spacing w:line="440" w:lineRule="exact"/>
        <w:ind w:firstLine="480" w:firstLineChars="200"/>
        <w:rPr>
          <w:rFonts w:cs="宋体"/>
          <w:sz w:val="24"/>
          <w:szCs w:val="24"/>
        </w:rPr>
      </w:pPr>
      <w:r>
        <w:rPr>
          <w:rFonts w:hint="eastAsia" w:cs="宋体"/>
          <w:sz w:val="24"/>
          <w:szCs w:val="24"/>
        </w:rPr>
        <w:t>26.2中标通知书将是合同的组成部分。</w:t>
      </w:r>
    </w:p>
    <w:p>
      <w:pPr>
        <w:spacing w:line="440" w:lineRule="exact"/>
        <w:ind w:firstLine="482" w:firstLineChars="200"/>
        <w:rPr>
          <w:rFonts w:cs="宋体"/>
          <w:b/>
          <w:bCs/>
          <w:sz w:val="24"/>
          <w:szCs w:val="24"/>
        </w:rPr>
      </w:pPr>
      <w:r>
        <w:rPr>
          <w:rFonts w:hint="eastAsia" w:cs="宋体"/>
          <w:b/>
          <w:bCs/>
          <w:sz w:val="24"/>
          <w:szCs w:val="24"/>
        </w:rPr>
        <w:t>27.签订合同</w:t>
      </w:r>
    </w:p>
    <w:p>
      <w:pPr>
        <w:spacing w:line="440" w:lineRule="exact"/>
        <w:ind w:firstLine="480" w:firstLineChars="200"/>
        <w:rPr>
          <w:rFonts w:cs="宋体"/>
          <w:sz w:val="24"/>
          <w:szCs w:val="24"/>
        </w:rPr>
      </w:pPr>
      <w:r>
        <w:rPr>
          <w:rFonts w:hint="eastAsia" w:cs="宋体"/>
          <w:sz w:val="24"/>
          <w:szCs w:val="24"/>
        </w:rPr>
        <w:t>27.1中标人应按中标通知书中规定的时间、地点与招标人签订中标经济合同，否则按开标后撤回投标处理。</w:t>
      </w:r>
    </w:p>
    <w:p>
      <w:pPr>
        <w:spacing w:line="440" w:lineRule="exact"/>
        <w:ind w:firstLine="480" w:firstLineChars="200"/>
        <w:rPr>
          <w:rFonts w:cs="宋体"/>
          <w:sz w:val="24"/>
          <w:szCs w:val="24"/>
        </w:rPr>
      </w:pPr>
      <w:r>
        <w:rPr>
          <w:rFonts w:hint="eastAsia" w:cs="宋体"/>
          <w:sz w:val="24"/>
          <w:szCs w:val="24"/>
        </w:rPr>
        <w:t>27.2招标文件、中标人的投标文件及评标过程中有关澄清文件均应作为合同附件。</w:t>
      </w:r>
    </w:p>
    <w:p>
      <w:pPr>
        <w:spacing w:line="440" w:lineRule="exact"/>
        <w:ind w:firstLine="480" w:firstLineChars="200"/>
        <w:rPr>
          <w:rFonts w:cs="宋体"/>
          <w:sz w:val="24"/>
          <w:szCs w:val="24"/>
        </w:rPr>
      </w:pPr>
      <w:r>
        <w:rPr>
          <w:rFonts w:hint="eastAsia" w:cs="宋体"/>
          <w:sz w:val="24"/>
          <w:szCs w:val="24"/>
        </w:rPr>
        <w:t>27.3合同以双方最终签署的版本为准。</w:t>
      </w:r>
    </w:p>
    <w:p>
      <w:pPr>
        <w:pStyle w:val="4"/>
        <w:numPr>
          <w:ilvl w:val="0"/>
          <w:numId w:val="0"/>
        </w:numPr>
        <w:spacing w:before="0" w:after="0" w:line="440" w:lineRule="exact"/>
        <w:jc w:val="center"/>
        <w:rPr>
          <w:rFonts w:ascii="Times New Roman" w:hAnsi="Times New Roman" w:eastAsia="宋体" w:cs="宋体"/>
          <w:sz w:val="28"/>
          <w:szCs w:val="28"/>
        </w:rPr>
      </w:pPr>
      <w:bookmarkStart w:id="118" w:name="_Toc31602"/>
      <w:bookmarkStart w:id="119" w:name="_Toc15151"/>
      <w:bookmarkStart w:id="120" w:name="_Toc17127"/>
      <w:bookmarkStart w:id="121" w:name="_Toc49503550"/>
      <w:bookmarkStart w:id="122" w:name="_Toc51786891"/>
      <w:bookmarkStart w:id="123" w:name="_Toc500420293"/>
      <w:bookmarkStart w:id="124" w:name="_Toc500420375"/>
      <w:r>
        <w:rPr>
          <w:rFonts w:hint="eastAsia" w:ascii="Times New Roman" w:hAnsi="Times New Roman" w:eastAsia="宋体" w:cs="宋体"/>
          <w:sz w:val="28"/>
          <w:szCs w:val="28"/>
        </w:rPr>
        <w:t>七、废标及终止招标</w:t>
      </w:r>
      <w:bookmarkEnd w:id="118"/>
      <w:bookmarkEnd w:id="119"/>
      <w:bookmarkEnd w:id="120"/>
      <w:bookmarkEnd w:id="121"/>
      <w:bookmarkEnd w:id="122"/>
    </w:p>
    <w:p>
      <w:pPr>
        <w:spacing w:line="440" w:lineRule="exact"/>
        <w:ind w:firstLine="482" w:firstLineChars="200"/>
        <w:rPr>
          <w:rFonts w:cs="宋体"/>
          <w:b/>
          <w:bCs/>
          <w:sz w:val="24"/>
          <w:szCs w:val="24"/>
        </w:rPr>
      </w:pPr>
      <w:r>
        <w:rPr>
          <w:rFonts w:hint="eastAsia" w:cs="宋体"/>
          <w:b/>
          <w:bCs/>
          <w:sz w:val="24"/>
          <w:szCs w:val="24"/>
        </w:rPr>
        <w:t>28.废标</w:t>
      </w:r>
    </w:p>
    <w:p>
      <w:pPr>
        <w:spacing w:line="440" w:lineRule="exact"/>
        <w:ind w:firstLine="480" w:firstLineChars="200"/>
        <w:rPr>
          <w:rFonts w:cs="宋体"/>
          <w:sz w:val="24"/>
          <w:szCs w:val="24"/>
        </w:rPr>
      </w:pPr>
      <w:r>
        <w:rPr>
          <w:rFonts w:hint="eastAsia" w:cs="宋体"/>
          <w:sz w:val="24"/>
          <w:szCs w:val="24"/>
        </w:rPr>
        <w:t>28.1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440" w:lineRule="exact"/>
        <w:ind w:firstLine="480" w:firstLineChars="200"/>
        <w:rPr>
          <w:rFonts w:cs="宋体"/>
          <w:sz w:val="24"/>
          <w:szCs w:val="24"/>
        </w:rPr>
      </w:pPr>
      <w:r>
        <w:rPr>
          <w:rFonts w:hint="eastAsia" w:cs="宋体"/>
          <w:sz w:val="24"/>
          <w:szCs w:val="24"/>
        </w:rPr>
        <w:t>（1）投标人提供的有关资格、资质证明文件不合格、不真实或提供虚假投标材料；</w:t>
      </w:r>
    </w:p>
    <w:p>
      <w:pPr>
        <w:spacing w:line="440" w:lineRule="exact"/>
        <w:ind w:firstLine="480" w:firstLineChars="200"/>
        <w:rPr>
          <w:rFonts w:cs="宋体"/>
          <w:sz w:val="24"/>
          <w:szCs w:val="24"/>
        </w:rPr>
      </w:pPr>
      <w:r>
        <w:rPr>
          <w:rFonts w:hint="eastAsia" w:cs="宋体"/>
          <w:sz w:val="24"/>
          <w:szCs w:val="24"/>
        </w:rPr>
        <w:t>（2）投标人在报价有效期内撤回投标；</w:t>
      </w:r>
    </w:p>
    <w:p>
      <w:pPr>
        <w:spacing w:line="440" w:lineRule="exact"/>
        <w:ind w:firstLine="480" w:firstLineChars="200"/>
        <w:rPr>
          <w:rFonts w:cs="宋体"/>
          <w:sz w:val="24"/>
          <w:szCs w:val="24"/>
        </w:rPr>
      </w:pPr>
      <w:r>
        <w:rPr>
          <w:rFonts w:hint="eastAsia" w:cs="宋体"/>
          <w:sz w:val="24"/>
          <w:szCs w:val="24"/>
        </w:rPr>
        <w:t>（3）在整个评标过程中，投标人有企图影响评标结果公正性的任何活动；</w:t>
      </w:r>
    </w:p>
    <w:p>
      <w:pPr>
        <w:spacing w:line="440" w:lineRule="exact"/>
        <w:ind w:firstLine="480" w:firstLineChars="200"/>
        <w:rPr>
          <w:rFonts w:cs="宋体"/>
          <w:sz w:val="24"/>
          <w:szCs w:val="24"/>
        </w:rPr>
      </w:pPr>
      <w:r>
        <w:rPr>
          <w:rFonts w:hint="eastAsia" w:cs="宋体"/>
          <w:sz w:val="24"/>
          <w:szCs w:val="24"/>
        </w:rPr>
        <w:t>（4）投标人以任何方式诋毁其他投标人；</w:t>
      </w:r>
    </w:p>
    <w:p>
      <w:pPr>
        <w:spacing w:line="440" w:lineRule="exact"/>
        <w:ind w:firstLine="480" w:firstLineChars="200"/>
        <w:rPr>
          <w:rFonts w:cs="宋体"/>
          <w:sz w:val="24"/>
          <w:szCs w:val="24"/>
        </w:rPr>
      </w:pPr>
      <w:r>
        <w:rPr>
          <w:rFonts w:hint="eastAsia" w:cs="宋体"/>
          <w:sz w:val="24"/>
          <w:szCs w:val="24"/>
        </w:rPr>
        <w:t>（5）投标人串通投标；</w:t>
      </w:r>
    </w:p>
    <w:p>
      <w:pPr>
        <w:spacing w:line="440" w:lineRule="exact"/>
        <w:ind w:firstLine="480" w:firstLineChars="200"/>
        <w:rPr>
          <w:rFonts w:cs="宋体"/>
          <w:sz w:val="24"/>
          <w:szCs w:val="24"/>
        </w:rPr>
      </w:pPr>
      <w:r>
        <w:rPr>
          <w:rFonts w:hint="eastAsia" w:cs="宋体"/>
          <w:sz w:val="24"/>
          <w:szCs w:val="24"/>
        </w:rPr>
        <w:t>（6）以他人名义投标或者以其他方式弄虚作假，骗取中标的；</w:t>
      </w:r>
    </w:p>
    <w:p>
      <w:pPr>
        <w:spacing w:line="440" w:lineRule="exact"/>
        <w:ind w:firstLine="480" w:firstLineChars="200"/>
        <w:rPr>
          <w:rFonts w:cs="宋体"/>
          <w:sz w:val="24"/>
          <w:szCs w:val="24"/>
        </w:rPr>
      </w:pPr>
      <w:r>
        <w:rPr>
          <w:rFonts w:hint="eastAsia" w:cs="宋体"/>
          <w:sz w:val="24"/>
          <w:szCs w:val="24"/>
        </w:rPr>
        <w:t>（7）样品不满足招标文件规定的（若招标文件约定提供样品）；</w:t>
      </w:r>
    </w:p>
    <w:p>
      <w:pPr>
        <w:spacing w:line="440" w:lineRule="exact"/>
        <w:ind w:firstLine="480" w:firstLineChars="200"/>
        <w:rPr>
          <w:rFonts w:cs="宋体"/>
          <w:sz w:val="24"/>
          <w:szCs w:val="24"/>
        </w:rPr>
      </w:pPr>
      <w:r>
        <w:rPr>
          <w:rFonts w:hint="eastAsia" w:cs="宋体"/>
          <w:sz w:val="24"/>
          <w:szCs w:val="24"/>
        </w:rPr>
        <w:t>（8）按照12.1条约定无投标人盖章或无法定代表人或法定代表人授权的委托代理人签字或盖章的；</w:t>
      </w:r>
    </w:p>
    <w:p>
      <w:pPr>
        <w:spacing w:line="440" w:lineRule="exact"/>
        <w:ind w:firstLine="480" w:firstLineChars="200"/>
        <w:rPr>
          <w:rFonts w:cs="宋体"/>
          <w:sz w:val="24"/>
          <w:szCs w:val="24"/>
        </w:rPr>
      </w:pPr>
      <w:r>
        <w:rPr>
          <w:rFonts w:hint="eastAsia" w:cs="宋体"/>
          <w:sz w:val="24"/>
          <w:szCs w:val="24"/>
        </w:rPr>
        <w:t>（9）投标人递交两份或多份内容不同的报价文件，或者在一份报价文件中对同一采购项目报有两个或多个报价，且未声明哪一个有效，按招标文件规定提交备选方案的除外；</w:t>
      </w:r>
    </w:p>
    <w:p>
      <w:pPr>
        <w:spacing w:line="440" w:lineRule="exact"/>
        <w:ind w:firstLine="480" w:firstLineChars="200"/>
        <w:rPr>
          <w:rFonts w:cs="宋体"/>
          <w:sz w:val="24"/>
          <w:szCs w:val="24"/>
        </w:rPr>
      </w:pPr>
      <w:r>
        <w:rPr>
          <w:rFonts w:hint="eastAsia" w:cs="宋体"/>
          <w:sz w:val="24"/>
          <w:szCs w:val="24"/>
        </w:rPr>
        <w:t>（10）不同投标人的投标文件内容存在非正常一致的；</w:t>
      </w:r>
    </w:p>
    <w:p>
      <w:pPr>
        <w:spacing w:line="440" w:lineRule="exact"/>
        <w:ind w:firstLine="480" w:firstLineChars="200"/>
        <w:rPr>
          <w:rFonts w:cs="宋体"/>
          <w:sz w:val="24"/>
          <w:szCs w:val="24"/>
        </w:rPr>
      </w:pPr>
      <w:r>
        <w:rPr>
          <w:rFonts w:hint="eastAsia" w:cs="宋体"/>
          <w:sz w:val="24"/>
          <w:szCs w:val="24"/>
        </w:rPr>
        <w:t>（11）不同投标人的投标文件相互混装的；</w:t>
      </w:r>
    </w:p>
    <w:p>
      <w:pPr>
        <w:spacing w:line="440" w:lineRule="exact"/>
        <w:ind w:firstLine="480" w:firstLineChars="200"/>
        <w:rPr>
          <w:rFonts w:cs="宋体"/>
          <w:sz w:val="24"/>
          <w:szCs w:val="24"/>
        </w:rPr>
      </w:pPr>
      <w:r>
        <w:rPr>
          <w:rFonts w:hint="eastAsia" w:cs="宋体"/>
          <w:sz w:val="24"/>
          <w:szCs w:val="24"/>
        </w:rPr>
        <w:t>（12）不同投标人委托同一人投标的；</w:t>
      </w:r>
    </w:p>
    <w:p>
      <w:pPr>
        <w:spacing w:line="440" w:lineRule="exact"/>
        <w:ind w:firstLine="480" w:firstLineChars="200"/>
        <w:rPr>
          <w:rFonts w:cs="宋体"/>
          <w:sz w:val="24"/>
          <w:szCs w:val="24"/>
        </w:rPr>
      </w:pPr>
      <w:r>
        <w:rPr>
          <w:rFonts w:hint="eastAsia" w:cs="宋体"/>
          <w:sz w:val="24"/>
          <w:szCs w:val="24"/>
        </w:rPr>
        <w:t>（13）不同投标人使用同一个人或者企业资金交纳投标保证金的；</w:t>
      </w:r>
    </w:p>
    <w:p>
      <w:pPr>
        <w:spacing w:line="440" w:lineRule="exact"/>
        <w:ind w:firstLine="480" w:firstLineChars="200"/>
        <w:rPr>
          <w:rFonts w:cs="宋体"/>
          <w:sz w:val="24"/>
          <w:szCs w:val="24"/>
        </w:rPr>
      </w:pPr>
      <w:r>
        <w:rPr>
          <w:rFonts w:hint="eastAsia" w:cs="宋体"/>
          <w:sz w:val="24"/>
          <w:szCs w:val="24"/>
        </w:rPr>
        <w:t>（14）不响应招标文件付款方式、供货时间、安装时间、质量要求、质保期等实质性内容的；</w:t>
      </w:r>
    </w:p>
    <w:p>
      <w:pPr>
        <w:spacing w:line="440" w:lineRule="exact"/>
        <w:ind w:firstLine="480" w:firstLineChars="200"/>
        <w:rPr>
          <w:rFonts w:cs="宋体"/>
          <w:sz w:val="24"/>
          <w:szCs w:val="24"/>
        </w:rPr>
      </w:pPr>
      <w:r>
        <w:rPr>
          <w:rFonts w:hint="eastAsia" w:cs="宋体"/>
          <w:sz w:val="24"/>
          <w:szCs w:val="24"/>
        </w:rPr>
        <w:t>（15）投标报价内容中有重大缺项漏项的。</w:t>
      </w:r>
    </w:p>
    <w:p>
      <w:pPr>
        <w:spacing w:line="440" w:lineRule="exact"/>
        <w:ind w:firstLine="480" w:firstLineChars="200"/>
        <w:rPr>
          <w:rFonts w:cs="宋体"/>
          <w:sz w:val="24"/>
          <w:szCs w:val="24"/>
        </w:rPr>
      </w:pPr>
      <w:r>
        <w:rPr>
          <w:rFonts w:hint="eastAsia" w:cs="宋体"/>
          <w:sz w:val="24"/>
          <w:szCs w:val="24"/>
        </w:rPr>
        <w:t>（16）其他任何有企图影响招标结果公正性的活动。</w:t>
      </w:r>
    </w:p>
    <w:p>
      <w:pPr>
        <w:spacing w:line="440" w:lineRule="exact"/>
        <w:ind w:firstLine="480" w:firstLineChars="200"/>
        <w:rPr>
          <w:rFonts w:cs="宋体"/>
          <w:sz w:val="24"/>
          <w:szCs w:val="24"/>
        </w:rPr>
      </w:pPr>
      <w:r>
        <w:rPr>
          <w:rFonts w:hint="eastAsia" w:cs="宋体"/>
          <w:sz w:val="24"/>
          <w:szCs w:val="24"/>
        </w:rPr>
        <w:t>（17）中标人不按规定签订合同；</w:t>
      </w:r>
    </w:p>
    <w:p>
      <w:pPr>
        <w:spacing w:line="440" w:lineRule="exact"/>
        <w:ind w:firstLine="480" w:firstLineChars="200"/>
        <w:rPr>
          <w:rFonts w:cs="宋体"/>
          <w:sz w:val="24"/>
          <w:szCs w:val="24"/>
        </w:rPr>
      </w:pPr>
      <w:r>
        <w:rPr>
          <w:rFonts w:hint="eastAsia" w:cs="宋体"/>
          <w:sz w:val="24"/>
          <w:szCs w:val="24"/>
        </w:rPr>
        <w:t>（18）法律、法规规定的其他情况。</w:t>
      </w:r>
    </w:p>
    <w:p>
      <w:pPr>
        <w:spacing w:line="440" w:lineRule="exact"/>
        <w:ind w:firstLine="480" w:firstLineChars="200"/>
        <w:rPr>
          <w:rFonts w:cs="宋体"/>
          <w:sz w:val="24"/>
          <w:szCs w:val="24"/>
        </w:rPr>
      </w:pPr>
      <w:r>
        <w:rPr>
          <w:rFonts w:hint="eastAsia" w:cs="宋体"/>
          <w:sz w:val="24"/>
          <w:szCs w:val="24"/>
        </w:rPr>
        <w:t>（19）投标人负责人为同一人或者存在控股、管理关系的不同单位。</w:t>
      </w:r>
    </w:p>
    <w:p>
      <w:pPr>
        <w:spacing w:line="440" w:lineRule="exact"/>
        <w:ind w:firstLine="482" w:firstLineChars="200"/>
        <w:rPr>
          <w:rFonts w:cs="宋体"/>
          <w:b/>
          <w:bCs/>
          <w:sz w:val="24"/>
          <w:szCs w:val="24"/>
        </w:rPr>
      </w:pPr>
      <w:r>
        <w:rPr>
          <w:rFonts w:hint="eastAsia" w:cs="宋体"/>
          <w:b/>
          <w:bCs/>
          <w:sz w:val="24"/>
          <w:szCs w:val="24"/>
        </w:rPr>
        <w:t>29.终止招标</w:t>
      </w:r>
    </w:p>
    <w:p>
      <w:pPr>
        <w:spacing w:line="440" w:lineRule="exact"/>
        <w:ind w:firstLine="480" w:firstLineChars="200"/>
        <w:rPr>
          <w:rFonts w:cs="宋体"/>
          <w:sz w:val="24"/>
          <w:szCs w:val="24"/>
        </w:rPr>
      </w:pPr>
      <w:r>
        <w:rPr>
          <w:rFonts w:hint="eastAsia" w:cs="宋体"/>
          <w:sz w:val="24"/>
          <w:szCs w:val="24"/>
        </w:rPr>
        <w:t>29.1出现下列情形之一，招标人有权否决所有投标人的投标，并终止招标。</w:t>
      </w:r>
    </w:p>
    <w:p>
      <w:pPr>
        <w:spacing w:line="440" w:lineRule="exact"/>
        <w:ind w:firstLine="480" w:firstLineChars="200"/>
        <w:rPr>
          <w:rFonts w:cs="宋体"/>
          <w:sz w:val="24"/>
          <w:szCs w:val="24"/>
        </w:rPr>
      </w:pPr>
      <w:r>
        <w:rPr>
          <w:rFonts w:hint="eastAsia" w:cs="宋体"/>
          <w:sz w:val="24"/>
          <w:szCs w:val="24"/>
        </w:rPr>
        <w:t>（1）出现影响采购公正的违法、违规行为的。</w:t>
      </w:r>
    </w:p>
    <w:p>
      <w:pPr>
        <w:spacing w:line="440" w:lineRule="exact"/>
        <w:ind w:firstLine="480" w:firstLineChars="200"/>
        <w:rPr>
          <w:rFonts w:cs="宋体"/>
          <w:sz w:val="24"/>
          <w:szCs w:val="24"/>
        </w:rPr>
      </w:pPr>
      <w:r>
        <w:rPr>
          <w:rFonts w:hint="eastAsia" w:cs="宋体"/>
          <w:sz w:val="24"/>
          <w:szCs w:val="24"/>
        </w:rPr>
        <w:t>（2）评标委员会经评审，认为所有投标都不符合招标文件要求的</w:t>
      </w:r>
    </w:p>
    <w:p>
      <w:pPr>
        <w:spacing w:line="440" w:lineRule="exact"/>
        <w:ind w:firstLine="480" w:firstLineChars="200"/>
        <w:rPr>
          <w:rFonts w:cs="宋体"/>
          <w:sz w:val="24"/>
          <w:szCs w:val="24"/>
        </w:rPr>
      </w:pPr>
      <w:r>
        <w:rPr>
          <w:rFonts w:hint="eastAsia" w:cs="宋体"/>
          <w:sz w:val="24"/>
          <w:szCs w:val="24"/>
        </w:rPr>
        <w:t>（3）因重大变故，采购任务取消的。</w:t>
      </w:r>
    </w:p>
    <w:p>
      <w:pPr>
        <w:spacing w:line="440" w:lineRule="exact"/>
        <w:ind w:firstLine="480" w:firstLineChars="200"/>
        <w:rPr>
          <w:rFonts w:cs="宋体"/>
          <w:sz w:val="24"/>
          <w:szCs w:val="24"/>
        </w:rPr>
      </w:pPr>
      <w:r>
        <w:rPr>
          <w:rFonts w:hint="eastAsia" w:cs="宋体"/>
          <w:sz w:val="24"/>
          <w:szCs w:val="24"/>
        </w:rPr>
        <w:t>（4）有效参与投标的单位不足三家以上的。</w:t>
      </w:r>
    </w:p>
    <w:p>
      <w:pPr>
        <w:spacing w:line="440" w:lineRule="exact"/>
        <w:ind w:firstLine="480" w:firstLineChars="200"/>
        <w:rPr>
          <w:rFonts w:cs="宋体"/>
          <w:sz w:val="24"/>
          <w:szCs w:val="24"/>
        </w:rPr>
      </w:pPr>
      <w:r>
        <w:rPr>
          <w:rFonts w:hint="eastAsia" w:cs="宋体"/>
          <w:sz w:val="24"/>
          <w:szCs w:val="24"/>
        </w:rPr>
        <w:t>（5）招标人认为其他应终止招标的情形。</w:t>
      </w:r>
    </w:p>
    <w:p>
      <w:pPr>
        <w:pStyle w:val="4"/>
        <w:numPr>
          <w:ilvl w:val="0"/>
          <w:numId w:val="0"/>
        </w:numPr>
        <w:spacing w:before="0" w:after="0" w:line="440" w:lineRule="exact"/>
        <w:jc w:val="center"/>
        <w:rPr>
          <w:rFonts w:ascii="Times New Roman" w:hAnsi="Times New Roman" w:eastAsia="宋体" w:cs="宋体"/>
          <w:sz w:val="28"/>
          <w:szCs w:val="28"/>
        </w:rPr>
      </w:pPr>
      <w:bookmarkStart w:id="125" w:name="_Toc13523"/>
      <w:bookmarkStart w:id="126" w:name="_Toc49503551"/>
      <w:bookmarkStart w:id="127" w:name="_Toc10818"/>
      <w:bookmarkStart w:id="128" w:name="_Toc18839"/>
      <w:bookmarkStart w:id="129" w:name="_Toc51786892"/>
      <w:r>
        <w:rPr>
          <w:rFonts w:hint="eastAsia" w:ascii="Times New Roman" w:hAnsi="Times New Roman" w:eastAsia="宋体" w:cs="宋体"/>
          <w:sz w:val="28"/>
          <w:szCs w:val="28"/>
        </w:rPr>
        <w:t>八、相关费用</w:t>
      </w:r>
      <w:bookmarkEnd w:id="125"/>
      <w:bookmarkEnd w:id="126"/>
      <w:bookmarkEnd w:id="127"/>
      <w:bookmarkEnd w:id="128"/>
      <w:bookmarkEnd w:id="129"/>
    </w:p>
    <w:p>
      <w:pPr>
        <w:spacing w:line="440" w:lineRule="exact"/>
        <w:ind w:firstLine="480" w:firstLineChars="200"/>
        <w:rPr>
          <w:rFonts w:cs="宋体"/>
          <w:sz w:val="24"/>
          <w:szCs w:val="24"/>
        </w:rPr>
      </w:pPr>
      <w:r>
        <w:rPr>
          <w:rFonts w:hint="eastAsia" w:cs="宋体"/>
          <w:sz w:val="24"/>
          <w:szCs w:val="24"/>
        </w:rPr>
        <w:t>本项目招标相关费用详见投标人须知前附表第19项。</w:t>
      </w:r>
    </w:p>
    <w:p>
      <w:pPr>
        <w:pStyle w:val="4"/>
        <w:numPr>
          <w:ilvl w:val="0"/>
          <w:numId w:val="0"/>
        </w:numPr>
        <w:spacing w:before="0" w:after="0" w:line="440" w:lineRule="exact"/>
        <w:jc w:val="center"/>
        <w:rPr>
          <w:rFonts w:ascii="Times New Roman" w:hAnsi="Times New Roman" w:eastAsia="宋体" w:cs="宋体"/>
          <w:sz w:val="28"/>
          <w:szCs w:val="28"/>
        </w:rPr>
      </w:pPr>
      <w:bookmarkStart w:id="130" w:name="_Toc17509"/>
      <w:bookmarkStart w:id="131" w:name="_Toc25975"/>
      <w:bookmarkStart w:id="132" w:name="_Toc18239"/>
      <w:bookmarkStart w:id="133" w:name="_Toc51786893"/>
      <w:bookmarkStart w:id="134" w:name="_Toc49503552"/>
      <w:r>
        <w:rPr>
          <w:rFonts w:hint="eastAsia" w:ascii="Times New Roman" w:hAnsi="Times New Roman" w:eastAsia="宋体" w:cs="宋体"/>
          <w:sz w:val="28"/>
          <w:szCs w:val="28"/>
        </w:rPr>
        <w:t>九、解释权</w:t>
      </w:r>
      <w:bookmarkEnd w:id="130"/>
      <w:bookmarkEnd w:id="131"/>
      <w:bookmarkEnd w:id="132"/>
      <w:bookmarkEnd w:id="133"/>
      <w:bookmarkEnd w:id="134"/>
    </w:p>
    <w:p>
      <w:pPr>
        <w:spacing w:line="440" w:lineRule="exact"/>
        <w:ind w:firstLine="480" w:firstLineChars="200"/>
        <w:rPr>
          <w:rFonts w:cs="宋体"/>
          <w:sz w:val="24"/>
          <w:szCs w:val="24"/>
        </w:rPr>
      </w:pPr>
      <w:r>
        <w:rPr>
          <w:rFonts w:hint="eastAsia" w:cs="宋体"/>
          <w:sz w:val="24"/>
          <w:szCs w:val="24"/>
        </w:rPr>
        <w:t>本招标文件的最终解释权归招标人，当对一个问题有多种解释时以招标人的书面解释为准。招标文件未做明示，而又有相关法律、法规规定的，招标人对此所做解释以相关的法律、法规规定为依据。</w:t>
      </w:r>
    </w:p>
    <w:p>
      <w:pPr>
        <w:pStyle w:val="4"/>
        <w:numPr>
          <w:ilvl w:val="0"/>
          <w:numId w:val="0"/>
        </w:numPr>
        <w:spacing w:before="0" w:after="0" w:line="440" w:lineRule="exact"/>
        <w:jc w:val="center"/>
        <w:rPr>
          <w:rFonts w:ascii="Times New Roman" w:hAnsi="Times New Roman" w:eastAsia="宋体" w:cs="宋体"/>
          <w:sz w:val="28"/>
          <w:szCs w:val="28"/>
        </w:rPr>
      </w:pPr>
      <w:bookmarkStart w:id="135" w:name="_Toc3359"/>
      <w:bookmarkStart w:id="136" w:name="_Toc7717"/>
      <w:bookmarkStart w:id="137" w:name="_Toc51786894"/>
      <w:bookmarkStart w:id="138" w:name="_Toc49503553"/>
      <w:bookmarkStart w:id="139" w:name="_Toc29209"/>
      <w:r>
        <w:rPr>
          <w:rFonts w:hint="eastAsia" w:ascii="Times New Roman" w:hAnsi="Times New Roman" w:eastAsia="宋体" w:cs="宋体"/>
          <w:sz w:val="28"/>
          <w:szCs w:val="28"/>
        </w:rPr>
        <w:t>十、其他</w:t>
      </w:r>
      <w:bookmarkEnd w:id="135"/>
      <w:bookmarkEnd w:id="136"/>
      <w:bookmarkEnd w:id="137"/>
      <w:bookmarkEnd w:id="138"/>
      <w:bookmarkEnd w:id="139"/>
    </w:p>
    <w:p>
      <w:pPr>
        <w:spacing w:line="440" w:lineRule="exact"/>
        <w:ind w:firstLine="480" w:firstLineChars="200"/>
        <w:rPr>
          <w:rFonts w:cs="宋体"/>
          <w:sz w:val="24"/>
          <w:szCs w:val="24"/>
        </w:rPr>
      </w:pPr>
      <w:r>
        <w:rPr>
          <w:rFonts w:hint="eastAsia" w:cs="宋体"/>
          <w:sz w:val="24"/>
          <w:szCs w:val="24"/>
        </w:rPr>
        <w:t>需对“投标人须知”正文进行补充和修改的内容详见“投标人须知前附表”。</w:t>
      </w:r>
    </w:p>
    <w:p>
      <w:pPr>
        <w:pStyle w:val="4"/>
        <w:numPr>
          <w:ilvl w:val="0"/>
          <w:numId w:val="0"/>
        </w:numPr>
        <w:spacing w:before="0" w:after="0" w:line="440" w:lineRule="exact"/>
        <w:jc w:val="center"/>
        <w:rPr>
          <w:rFonts w:ascii="Times New Roman" w:hAnsi="Times New Roman" w:eastAsia="宋体" w:cs="宋体"/>
          <w:sz w:val="28"/>
          <w:szCs w:val="28"/>
        </w:rPr>
      </w:pPr>
      <w:bookmarkStart w:id="140" w:name="_Toc51786895"/>
      <w:bookmarkStart w:id="141" w:name="_Toc14787"/>
      <w:bookmarkStart w:id="142" w:name="_Toc49503554"/>
      <w:bookmarkStart w:id="143" w:name="_Toc27338"/>
      <w:bookmarkStart w:id="144" w:name="_Toc3634"/>
      <w:r>
        <w:rPr>
          <w:rFonts w:hint="eastAsia" w:ascii="Times New Roman" w:hAnsi="Times New Roman" w:eastAsia="宋体" w:cs="宋体"/>
          <w:sz w:val="28"/>
          <w:szCs w:val="28"/>
        </w:rPr>
        <w:t>十一、中标人瑕疵滞后发现的处理原则</w:t>
      </w:r>
      <w:bookmarkEnd w:id="140"/>
      <w:bookmarkEnd w:id="141"/>
      <w:bookmarkEnd w:id="142"/>
      <w:bookmarkEnd w:id="143"/>
      <w:bookmarkEnd w:id="144"/>
    </w:p>
    <w:p>
      <w:pPr>
        <w:spacing w:line="440" w:lineRule="exact"/>
        <w:ind w:firstLine="480" w:firstLineChars="200"/>
        <w:rPr>
          <w:rFonts w:cs="宋体"/>
          <w:sz w:val="24"/>
          <w:szCs w:val="24"/>
        </w:rPr>
      </w:pPr>
      <w:r>
        <w:rPr>
          <w:rFonts w:hint="eastAsia" w:cs="宋体"/>
          <w:sz w:val="24"/>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pPr>
        <w:pStyle w:val="3"/>
        <w:numPr>
          <w:ilvl w:val="0"/>
          <w:numId w:val="0"/>
        </w:numPr>
        <w:spacing w:before="163" w:beforeLines="50" w:line="500" w:lineRule="exact"/>
      </w:pPr>
      <w:r>
        <w:rPr>
          <w:rFonts w:cs="宋体"/>
          <w:sz w:val="24"/>
          <w:szCs w:val="24"/>
        </w:rPr>
        <w:br w:type="page"/>
      </w:r>
      <w:r>
        <w:rPr>
          <w:rFonts w:hint="eastAsia"/>
        </w:rPr>
        <w:t>第三章技术要求</w:t>
      </w:r>
    </w:p>
    <w:bookmarkEnd w:id="123"/>
    <w:bookmarkEnd w:id="124"/>
    <w:p>
      <w:pPr>
        <w:pStyle w:val="4"/>
        <w:numPr>
          <w:ilvl w:val="1"/>
          <w:numId w:val="0"/>
        </w:numPr>
        <w:spacing w:before="0" w:after="0" w:line="500" w:lineRule="exact"/>
        <w:jc w:val="center"/>
        <w:rPr>
          <w:rFonts w:ascii="宋体" w:hAnsi="宋体" w:eastAsia="宋体" w:cs="宋体"/>
        </w:rPr>
      </w:pPr>
      <w:bookmarkStart w:id="145" w:name="_Toc293006053"/>
      <w:bookmarkEnd w:id="145"/>
      <w:bookmarkStart w:id="146" w:name="_Toc12171"/>
      <w:bookmarkStart w:id="147" w:name="_Toc49503557"/>
      <w:bookmarkStart w:id="148" w:name="_Toc5032"/>
      <w:bookmarkStart w:id="149" w:name="_Toc32479"/>
      <w:bookmarkStart w:id="150" w:name="_Toc51786898"/>
      <w:bookmarkStart w:id="151" w:name="_Toc17627"/>
      <w:bookmarkStart w:id="152" w:name="_Toc283814116"/>
      <w:r>
        <w:rPr>
          <w:rFonts w:hint="eastAsia" w:ascii="宋体" w:hAnsi="宋体" w:eastAsia="宋体" w:cs="宋体"/>
        </w:rPr>
        <w:t>第一章 采购货物概况</w:t>
      </w:r>
    </w:p>
    <w:p>
      <w:pPr>
        <w:pStyle w:val="5"/>
        <w:numPr>
          <w:ilvl w:val="2"/>
          <w:numId w:val="0"/>
        </w:numPr>
        <w:spacing w:line="500" w:lineRule="exact"/>
        <w:jc w:val="center"/>
        <w:rPr>
          <w:rFonts w:ascii="宋体" w:hAnsi="宋体" w:cs="宋体"/>
        </w:rPr>
      </w:pPr>
      <w:r>
        <w:rPr>
          <w:rFonts w:hint="eastAsia" w:ascii="宋体" w:hAnsi="宋体" w:cs="宋体"/>
        </w:rPr>
        <w:t>第一节 使用环境</w:t>
      </w:r>
    </w:p>
    <w:p>
      <w:pPr>
        <w:spacing w:line="440" w:lineRule="exact"/>
        <w:ind w:firstLine="482" w:firstLineChars="200"/>
        <w:rPr>
          <w:rFonts w:cs="宋体"/>
          <w:sz w:val="24"/>
          <w:szCs w:val="24"/>
        </w:rPr>
      </w:pPr>
      <w:r>
        <w:rPr>
          <w:rFonts w:hint="eastAsia" w:cs="宋体"/>
          <w:b/>
          <w:bCs/>
          <w:sz w:val="24"/>
          <w:szCs w:val="24"/>
        </w:rPr>
        <w:t>一、项目名称：</w:t>
      </w:r>
      <w:r>
        <w:rPr>
          <w:rFonts w:hint="eastAsia" w:cs="宋体"/>
          <w:sz w:val="24"/>
          <w:szCs w:val="24"/>
        </w:rPr>
        <w:t>定扭设备及加注设备改造项目</w:t>
      </w:r>
    </w:p>
    <w:p>
      <w:pPr>
        <w:spacing w:line="440" w:lineRule="exact"/>
        <w:ind w:firstLine="482" w:firstLineChars="200"/>
        <w:rPr>
          <w:rFonts w:cs="宋体"/>
          <w:sz w:val="24"/>
          <w:szCs w:val="24"/>
        </w:rPr>
      </w:pPr>
      <w:r>
        <w:rPr>
          <w:rFonts w:hint="eastAsia" w:cs="宋体"/>
          <w:b/>
          <w:bCs/>
          <w:sz w:val="24"/>
          <w:szCs w:val="24"/>
        </w:rPr>
        <w:t>二、建设地点：</w:t>
      </w:r>
      <w:r>
        <w:rPr>
          <w:rFonts w:hint="eastAsia" w:cs="宋体"/>
          <w:sz w:val="24"/>
          <w:szCs w:val="24"/>
        </w:rPr>
        <w:t>福建省永安市</w:t>
      </w:r>
    </w:p>
    <w:p>
      <w:pPr>
        <w:spacing w:line="440" w:lineRule="exact"/>
        <w:ind w:firstLine="482" w:firstLineChars="200"/>
        <w:rPr>
          <w:rFonts w:cs="宋体"/>
          <w:sz w:val="24"/>
          <w:szCs w:val="24"/>
        </w:rPr>
      </w:pPr>
      <w:r>
        <w:rPr>
          <w:rFonts w:hint="eastAsia" w:cs="宋体"/>
          <w:b/>
          <w:bCs/>
          <w:sz w:val="24"/>
          <w:szCs w:val="24"/>
        </w:rPr>
        <w:t>三、使用地点：</w:t>
      </w:r>
      <w:r>
        <w:rPr>
          <w:rFonts w:hint="eastAsia" w:cs="宋体"/>
          <w:sz w:val="24"/>
          <w:szCs w:val="24"/>
        </w:rPr>
        <w:t>福建省永安市重汽福建海西中重卡车间</w:t>
      </w:r>
    </w:p>
    <w:p>
      <w:pPr>
        <w:spacing w:line="440" w:lineRule="exact"/>
        <w:ind w:firstLine="482" w:firstLineChars="200"/>
        <w:rPr>
          <w:rFonts w:cs="宋体"/>
          <w:sz w:val="24"/>
          <w:szCs w:val="24"/>
        </w:rPr>
      </w:pPr>
      <w:r>
        <w:rPr>
          <w:rFonts w:hint="eastAsia" w:cs="宋体"/>
          <w:b/>
          <w:bCs/>
          <w:sz w:val="24"/>
          <w:szCs w:val="24"/>
        </w:rPr>
        <w:t>四、工作制度：</w:t>
      </w:r>
      <w:r>
        <w:rPr>
          <w:rFonts w:hint="eastAsia" w:cs="宋体"/>
          <w:sz w:val="24"/>
          <w:szCs w:val="24"/>
        </w:rPr>
        <w:t>全年工作300天、两班制、设备年时基数6000小时、3分钟生产节拍</w:t>
      </w:r>
    </w:p>
    <w:p>
      <w:pPr>
        <w:spacing w:line="440" w:lineRule="exact"/>
        <w:ind w:firstLine="482" w:firstLineChars="200"/>
        <w:rPr>
          <w:rFonts w:cs="宋体"/>
          <w:b/>
          <w:bCs/>
          <w:sz w:val="24"/>
          <w:szCs w:val="24"/>
        </w:rPr>
      </w:pPr>
      <w:r>
        <w:rPr>
          <w:rFonts w:hint="eastAsia" w:cs="宋体"/>
          <w:b/>
          <w:bCs/>
          <w:sz w:val="24"/>
          <w:szCs w:val="24"/>
        </w:rPr>
        <w:t>五、使用地点区域自然环境：</w:t>
      </w:r>
    </w:p>
    <w:p>
      <w:pPr>
        <w:spacing w:line="440" w:lineRule="exact"/>
        <w:ind w:firstLine="480" w:firstLineChars="200"/>
        <w:rPr>
          <w:rFonts w:cs="宋体"/>
          <w:sz w:val="24"/>
          <w:szCs w:val="24"/>
        </w:rPr>
      </w:pPr>
      <w:r>
        <w:rPr>
          <w:rFonts w:hint="eastAsia" w:cs="宋体"/>
          <w:sz w:val="24"/>
          <w:szCs w:val="24"/>
        </w:rPr>
        <w:t>1.海拨高度：1000m及以下</w:t>
      </w:r>
    </w:p>
    <w:p>
      <w:pPr>
        <w:spacing w:line="440" w:lineRule="exact"/>
        <w:ind w:firstLine="480" w:firstLineChars="200"/>
        <w:rPr>
          <w:rFonts w:cs="宋体"/>
          <w:sz w:val="24"/>
          <w:szCs w:val="24"/>
        </w:rPr>
      </w:pPr>
      <w:r>
        <w:rPr>
          <w:rFonts w:hint="eastAsia" w:cs="宋体"/>
          <w:sz w:val="24"/>
          <w:szCs w:val="24"/>
        </w:rPr>
        <w:t>2.环境温度：-10～+45℃，最大日温差：15℃。能够适应潮湿环境的，应明显注明（将有利于投标人）</w:t>
      </w:r>
    </w:p>
    <w:p>
      <w:pPr>
        <w:spacing w:line="440" w:lineRule="exact"/>
        <w:ind w:firstLine="480" w:firstLineChars="200"/>
        <w:rPr>
          <w:rFonts w:cs="宋体"/>
          <w:sz w:val="24"/>
          <w:szCs w:val="24"/>
        </w:rPr>
      </w:pPr>
      <w:r>
        <w:rPr>
          <w:rFonts w:hint="eastAsia" w:cs="宋体"/>
          <w:sz w:val="24"/>
          <w:szCs w:val="24"/>
        </w:rPr>
        <w:t>3.相对湿度：80%，最高月平均相对湿度：79%（+9.1℃）</w:t>
      </w:r>
    </w:p>
    <w:p>
      <w:pPr>
        <w:spacing w:line="440" w:lineRule="exact"/>
        <w:ind w:firstLine="480" w:firstLineChars="200"/>
        <w:rPr>
          <w:rFonts w:cs="宋体"/>
          <w:sz w:val="24"/>
          <w:szCs w:val="24"/>
        </w:rPr>
      </w:pPr>
      <w:r>
        <w:rPr>
          <w:rFonts w:hint="eastAsia" w:cs="宋体"/>
          <w:sz w:val="24"/>
          <w:szCs w:val="24"/>
        </w:rPr>
        <w:t>4.使用地点：厂房内</w:t>
      </w:r>
    </w:p>
    <w:p>
      <w:pPr>
        <w:spacing w:line="440" w:lineRule="exact"/>
        <w:ind w:firstLine="482" w:firstLineChars="200"/>
        <w:rPr>
          <w:rFonts w:cs="宋体"/>
          <w:b/>
          <w:bCs/>
          <w:sz w:val="24"/>
          <w:szCs w:val="24"/>
        </w:rPr>
      </w:pPr>
      <w:r>
        <w:rPr>
          <w:rFonts w:hint="eastAsia" w:cs="宋体"/>
          <w:b/>
          <w:bCs/>
          <w:sz w:val="24"/>
          <w:szCs w:val="24"/>
        </w:rPr>
        <w:t>六、能源环境：</w:t>
      </w:r>
    </w:p>
    <w:p>
      <w:pPr>
        <w:spacing w:line="440" w:lineRule="exact"/>
        <w:ind w:firstLine="480" w:firstLineChars="200"/>
        <w:rPr>
          <w:rFonts w:cs="宋体"/>
          <w:sz w:val="24"/>
          <w:szCs w:val="24"/>
        </w:rPr>
      </w:pPr>
      <w:r>
        <w:rPr>
          <w:rFonts w:hint="eastAsia" w:cs="宋体"/>
          <w:sz w:val="24"/>
          <w:szCs w:val="24"/>
        </w:rPr>
        <w:t>1.电源：三相AC380V±15%  3PH  50Hz±5%  AC220±15%  1PH  50Hz±5%。</w:t>
      </w:r>
    </w:p>
    <w:p>
      <w:pPr>
        <w:spacing w:line="440" w:lineRule="exact"/>
        <w:ind w:firstLine="480" w:firstLineChars="200"/>
        <w:rPr>
          <w:rFonts w:cs="宋体"/>
          <w:sz w:val="24"/>
          <w:szCs w:val="24"/>
        </w:rPr>
      </w:pPr>
      <w:r>
        <w:rPr>
          <w:rFonts w:hint="eastAsia" w:cs="宋体"/>
          <w:sz w:val="24"/>
          <w:szCs w:val="24"/>
        </w:rPr>
        <w:t>2.压缩空气压力：厂区空压机自产压缩空气，末端压力0.4Mpa～0.6Mpa。</w:t>
      </w:r>
    </w:p>
    <w:p>
      <w:pPr>
        <w:spacing w:line="440" w:lineRule="exact"/>
        <w:ind w:firstLine="480" w:firstLineChars="200"/>
        <w:rPr>
          <w:rFonts w:cs="宋体"/>
          <w:sz w:val="24"/>
          <w:szCs w:val="24"/>
        </w:rPr>
      </w:pPr>
      <w:r>
        <w:rPr>
          <w:rFonts w:hint="eastAsia" w:cs="宋体"/>
          <w:sz w:val="24"/>
          <w:szCs w:val="24"/>
        </w:rPr>
        <w:t>3.冷却水：水源为城市自来水。</w:t>
      </w:r>
    </w:p>
    <w:p>
      <w:pPr>
        <w:pStyle w:val="5"/>
        <w:numPr>
          <w:ilvl w:val="2"/>
          <w:numId w:val="0"/>
        </w:numPr>
        <w:spacing w:line="500" w:lineRule="exact"/>
        <w:jc w:val="center"/>
        <w:rPr>
          <w:rFonts w:ascii="宋体" w:hAnsi="宋体" w:cs="宋体"/>
        </w:rPr>
      </w:pPr>
      <w:r>
        <w:rPr>
          <w:rFonts w:hint="eastAsia" w:ascii="宋体" w:hAnsi="宋体" w:cs="宋体"/>
        </w:rPr>
        <w:t>第二节采购货物概况</w:t>
      </w:r>
    </w:p>
    <w:p>
      <w:pPr>
        <w:spacing w:line="440" w:lineRule="exact"/>
        <w:ind w:firstLine="482" w:firstLineChars="200"/>
        <w:rPr>
          <w:rFonts w:cs="宋体"/>
          <w:sz w:val="24"/>
          <w:szCs w:val="24"/>
        </w:rPr>
      </w:pPr>
      <w:r>
        <w:rPr>
          <w:rFonts w:hint="eastAsia" w:cs="宋体"/>
          <w:b/>
          <w:bCs/>
          <w:sz w:val="24"/>
          <w:szCs w:val="24"/>
        </w:rPr>
        <w:t>一、货物名称：</w:t>
      </w:r>
      <w:r>
        <w:rPr>
          <w:rFonts w:hint="eastAsia" w:cs="宋体"/>
          <w:sz w:val="24"/>
          <w:szCs w:val="24"/>
        </w:rPr>
        <w:t>定扭设备及加注设备改造</w:t>
      </w:r>
    </w:p>
    <w:p>
      <w:pPr>
        <w:spacing w:line="440" w:lineRule="exact"/>
        <w:ind w:firstLine="482" w:firstLineChars="200"/>
        <w:rPr>
          <w:rFonts w:cs="宋体"/>
          <w:sz w:val="24"/>
          <w:szCs w:val="24"/>
        </w:rPr>
      </w:pPr>
      <w:r>
        <w:rPr>
          <w:rFonts w:hint="eastAsia" w:cs="宋体"/>
          <w:b/>
          <w:bCs/>
          <w:sz w:val="24"/>
          <w:szCs w:val="24"/>
        </w:rPr>
        <w:t>二、货物数量：</w:t>
      </w:r>
      <w:r>
        <w:rPr>
          <w:rFonts w:hint="eastAsia" w:cs="宋体"/>
          <w:sz w:val="24"/>
          <w:szCs w:val="24"/>
        </w:rPr>
        <w:t>（详见下表）</w:t>
      </w:r>
    </w:p>
    <w:p>
      <w:pPr>
        <w:spacing w:line="440" w:lineRule="exact"/>
        <w:ind w:firstLine="482" w:firstLineChars="200"/>
        <w:jc w:val="center"/>
        <w:rPr>
          <w:rFonts w:cs="宋体"/>
          <w:b/>
          <w:bCs/>
          <w:sz w:val="24"/>
          <w:szCs w:val="24"/>
        </w:rPr>
      </w:pPr>
      <w:r>
        <w:rPr>
          <w:rFonts w:hint="eastAsia" w:cs="宋体"/>
          <w:b/>
          <w:bCs/>
          <w:sz w:val="24"/>
          <w:szCs w:val="24"/>
        </w:rPr>
        <w:t>采购货物主要构成一览表</w:t>
      </w:r>
    </w:p>
    <w:tbl>
      <w:tblPr>
        <w:tblStyle w:val="77"/>
        <w:tblW w:w="0" w:type="auto"/>
        <w:jc w:val="center"/>
        <w:tblLayout w:type="autofit"/>
        <w:tblCellMar>
          <w:top w:w="0" w:type="dxa"/>
          <w:left w:w="108" w:type="dxa"/>
          <w:bottom w:w="0" w:type="dxa"/>
          <w:right w:w="108" w:type="dxa"/>
        </w:tblCellMar>
      </w:tblPr>
      <w:tblGrid>
        <w:gridCol w:w="786"/>
        <w:gridCol w:w="3722"/>
        <w:gridCol w:w="859"/>
        <w:gridCol w:w="4096"/>
      </w:tblGrid>
      <w:tr>
        <w:tblPrEx>
          <w:tblCellMar>
            <w:top w:w="0" w:type="dxa"/>
            <w:left w:w="108" w:type="dxa"/>
            <w:bottom w:w="0" w:type="dxa"/>
            <w:right w:w="108" w:type="dxa"/>
          </w:tblCellMar>
        </w:tblPrEx>
        <w:trPr>
          <w:trHeight w:val="451"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2"/>
              </w:rPr>
            </w:pPr>
            <w:r>
              <w:rPr>
                <w:rFonts w:hint="eastAsia" w:ascii="宋体" w:hAnsi="宋体" w:cs="宋体"/>
                <w:b/>
                <w:bCs/>
                <w:color w:val="000000"/>
                <w:kern w:val="0"/>
                <w:sz w:val="24"/>
                <w:szCs w:val="22"/>
              </w:rPr>
              <w:t>序号</w:t>
            </w:r>
          </w:p>
        </w:tc>
        <w:tc>
          <w:tcPr>
            <w:tcW w:w="37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2"/>
              </w:rPr>
            </w:pPr>
            <w:r>
              <w:rPr>
                <w:rFonts w:hint="eastAsia" w:ascii="宋体" w:hAnsi="宋体" w:cs="宋体"/>
                <w:b/>
                <w:bCs/>
                <w:color w:val="000000"/>
                <w:kern w:val="0"/>
                <w:sz w:val="24"/>
                <w:szCs w:val="22"/>
              </w:rPr>
              <w:t>名称</w:t>
            </w:r>
          </w:p>
        </w:tc>
        <w:tc>
          <w:tcPr>
            <w:tcW w:w="8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2"/>
              </w:rPr>
            </w:pPr>
            <w:r>
              <w:rPr>
                <w:rFonts w:hint="eastAsia" w:ascii="宋体" w:hAnsi="宋体" w:cs="宋体"/>
                <w:b/>
                <w:bCs/>
                <w:color w:val="000000"/>
                <w:kern w:val="0"/>
                <w:sz w:val="24"/>
                <w:szCs w:val="22"/>
              </w:rPr>
              <w:t>数量</w:t>
            </w:r>
          </w:p>
        </w:tc>
        <w:tc>
          <w:tcPr>
            <w:tcW w:w="409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2"/>
              </w:rPr>
            </w:pPr>
            <w:r>
              <w:rPr>
                <w:rFonts w:hint="eastAsia" w:ascii="宋体" w:hAnsi="宋体" w:cs="宋体"/>
                <w:b/>
                <w:bCs/>
                <w:color w:val="000000"/>
                <w:kern w:val="0"/>
                <w:sz w:val="24"/>
                <w:szCs w:val="22"/>
              </w:rPr>
              <w:t>备注</w:t>
            </w:r>
          </w:p>
        </w:tc>
      </w:tr>
      <w:tr>
        <w:tblPrEx>
          <w:tblCellMar>
            <w:top w:w="0" w:type="dxa"/>
            <w:left w:w="108" w:type="dxa"/>
            <w:bottom w:w="0" w:type="dxa"/>
            <w:right w:w="108" w:type="dxa"/>
          </w:tblCellMar>
        </w:tblPrEx>
        <w:trPr>
          <w:trHeight w:val="443" w:hRule="atLeast"/>
          <w:jc w:val="center"/>
        </w:trPr>
        <w:tc>
          <w:tcPr>
            <w:tcW w:w="78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1</w:t>
            </w:r>
          </w:p>
        </w:tc>
        <w:tc>
          <w:tcPr>
            <w:tcW w:w="372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定值拧紧设备改造</w:t>
            </w:r>
          </w:p>
        </w:tc>
        <w:tc>
          <w:tcPr>
            <w:tcW w:w="8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10台</w:t>
            </w:r>
          </w:p>
        </w:tc>
        <w:tc>
          <w:tcPr>
            <w:tcW w:w="409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对现有设备改造</w:t>
            </w:r>
          </w:p>
        </w:tc>
      </w:tr>
      <w:tr>
        <w:tblPrEx>
          <w:tblCellMar>
            <w:top w:w="0" w:type="dxa"/>
            <w:left w:w="108" w:type="dxa"/>
            <w:bottom w:w="0" w:type="dxa"/>
            <w:right w:w="108" w:type="dxa"/>
          </w:tblCellMar>
        </w:tblPrEx>
        <w:trPr>
          <w:trHeight w:val="407" w:hRule="atLeast"/>
          <w:jc w:val="center"/>
        </w:trPr>
        <w:tc>
          <w:tcPr>
            <w:tcW w:w="78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2</w:t>
            </w:r>
          </w:p>
        </w:tc>
        <w:tc>
          <w:tcPr>
            <w:tcW w:w="372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定量加注设备改造</w:t>
            </w:r>
          </w:p>
        </w:tc>
        <w:tc>
          <w:tcPr>
            <w:tcW w:w="8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10台</w:t>
            </w:r>
          </w:p>
        </w:tc>
        <w:tc>
          <w:tcPr>
            <w:tcW w:w="409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对现有设备改造</w:t>
            </w:r>
          </w:p>
        </w:tc>
      </w:tr>
      <w:tr>
        <w:tblPrEx>
          <w:tblCellMar>
            <w:top w:w="0" w:type="dxa"/>
            <w:left w:w="108" w:type="dxa"/>
            <w:bottom w:w="0" w:type="dxa"/>
            <w:right w:w="108" w:type="dxa"/>
          </w:tblCellMar>
        </w:tblPrEx>
        <w:trPr>
          <w:trHeight w:val="40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3</w:t>
            </w:r>
          </w:p>
        </w:tc>
        <w:tc>
          <w:tcPr>
            <w:tcW w:w="37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海西设备数据分析系统</w:t>
            </w:r>
          </w:p>
        </w:tc>
        <w:tc>
          <w:tcPr>
            <w:tcW w:w="8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1套</w:t>
            </w:r>
          </w:p>
        </w:tc>
        <w:tc>
          <w:tcPr>
            <w:tcW w:w="409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2"/>
              </w:rPr>
            </w:pPr>
            <w:r>
              <w:rPr>
                <w:rFonts w:hint="eastAsia" w:ascii="宋体" w:hAnsi="宋体" w:cs="宋体"/>
                <w:color w:val="000000"/>
                <w:kern w:val="0"/>
                <w:sz w:val="24"/>
                <w:szCs w:val="22"/>
              </w:rPr>
              <w:t>新增</w:t>
            </w:r>
          </w:p>
        </w:tc>
      </w:tr>
    </w:tbl>
    <w:p>
      <w:pPr>
        <w:spacing w:line="440" w:lineRule="exact"/>
        <w:ind w:firstLine="480" w:firstLineChars="200"/>
        <w:rPr>
          <w:rFonts w:cs="宋体"/>
          <w:sz w:val="24"/>
          <w:szCs w:val="24"/>
        </w:rPr>
      </w:pPr>
      <w:r>
        <w:rPr>
          <w:rFonts w:hint="eastAsia" w:cs="宋体"/>
          <w:sz w:val="24"/>
          <w:szCs w:val="24"/>
        </w:rPr>
        <w:t>备注：本表所列采购货物仅为货物的主要构成部分，应配套供货以及招标方所列其它货物（或设备）和服务，请投标方认真阅读“供货范围”。若有异议，不管是多么微小，都应在投标文件“商务偏离”章节中予以详细说明。</w:t>
      </w:r>
    </w:p>
    <w:p>
      <w:pPr>
        <w:spacing w:line="440" w:lineRule="exact"/>
        <w:ind w:firstLine="482" w:firstLineChars="200"/>
        <w:rPr>
          <w:rFonts w:cs="宋体"/>
          <w:b/>
          <w:bCs/>
          <w:sz w:val="24"/>
          <w:szCs w:val="24"/>
        </w:rPr>
      </w:pPr>
      <w:r>
        <w:rPr>
          <w:rFonts w:hint="eastAsia" w:cs="宋体"/>
          <w:b/>
          <w:bCs/>
          <w:sz w:val="24"/>
          <w:szCs w:val="24"/>
        </w:rPr>
        <w:t>三、采购货物特别说明</w:t>
      </w:r>
    </w:p>
    <w:p>
      <w:pPr>
        <w:spacing w:line="440" w:lineRule="exact"/>
        <w:ind w:firstLine="480" w:firstLineChars="200"/>
        <w:rPr>
          <w:rFonts w:cs="宋体"/>
          <w:sz w:val="24"/>
          <w:szCs w:val="24"/>
        </w:rPr>
      </w:pPr>
      <w:r>
        <w:rPr>
          <w:rFonts w:hint="eastAsia" w:cs="宋体"/>
          <w:sz w:val="24"/>
          <w:szCs w:val="24"/>
        </w:rPr>
        <w:t>招标方所列货物的名称和规格型号，如为某一供应商所特有，则该名称和规格型号可作参考；但要求投标方所提供的货物必须满足本技术标书实质性要求。</w:t>
      </w:r>
    </w:p>
    <w:p>
      <w:pPr>
        <w:pStyle w:val="5"/>
        <w:numPr>
          <w:ilvl w:val="2"/>
          <w:numId w:val="0"/>
        </w:numPr>
        <w:spacing w:line="500" w:lineRule="exact"/>
        <w:jc w:val="center"/>
        <w:rPr>
          <w:rFonts w:ascii="宋体" w:hAnsi="宋体" w:cs="宋体"/>
        </w:rPr>
      </w:pPr>
      <w:r>
        <w:rPr>
          <w:rFonts w:hint="eastAsia" w:ascii="宋体" w:hAnsi="宋体" w:cs="宋体"/>
        </w:rPr>
        <w:t>第二章 技术要求</w:t>
      </w:r>
    </w:p>
    <w:p>
      <w:pPr>
        <w:spacing w:line="440" w:lineRule="exact"/>
        <w:ind w:firstLine="482" w:firstLineChars="200"/>
        <w:rPr>
          <w:rFonts w:cs="宋体"/>
          <w:b/>
          <w:bCs/>
          <w:sz w:val="24"/>
          <w:szCs w:val="24"/>
        </w:rPr>
      </w:pPr>
      <w:r>
        <w:rPr>
          <w:rFonts w:hint="eastAsia" w:cs="宋体"/>
          <w:b/>
          <w:bCs/>
          <w:sz w:val="24"/>
          <w:szCs w:val="24"/>
        </w:rPr>
        <w:t>一、特别提示</w:t>
      </w:r>
    </w:p>
    <w:p>
      <w:pPr>
        <w:spacing w:line="440" w:lineRule="exact"/>
        <w:ind w:firstLine="480" w:firstLineChars="200"/>
        <w:rPr>
          <w:rFonts w:cs="宋体"/>
          <w:sz w:val="24"/>
          <w:szCs w:val="24"/>
        </w:rPr>
      </w:pPr>
      <w:r>
        <w:rPr>
          <w:rFonts w:hint="eastAsia" w:cs="宋体"/>
          <w:sz w:val="24"/>
          <w:szCs w:val="24"/>
        </w:rPr>
        <w:t>1.本章技术要求，仅对功能、设计、结构、性能、安装和试验检验等方面，提出了最低和一般性的技术要求，并未对一切技术细节作出规定。</w:t>
      </w:r>
    </w:p>
    <w:p>
      <w:pPr>
        <w:spacing w:line="440" w:lineRule="exact"/>
        <w:ind w:firstLine="480" w:firstLineChars="200"/>
        <w:rPr>
          <w:rFonts w:cs="宋体"/>
          <w:sz w:val="24"/>
          <w:szCs w:val="24"/>
        </w:rPr>
      </w:pPr>
      <w:r>
        <w:rPr>
          <w:rFonts w:hint="eastAsia" w:cs="宋体"/>
          <w:sz w:val="24"/>
          <w:szCs w:val="24"/>
        </w:rPr>
        <w:t>2.本技术要求所使用的标准、规范等，如与投标方所执行的标准、规范不一致时，应按高于本技术要求所列的标准、规范执行。</w:t>
      </w:r>
    </w:p>
    <w:p>
      <w:pPr>
        <w:spacing w:line="440" w:lineRule="exact"/>
        <w:ind w:firstLine="480" w:firstLineChars="200"/>
        <w:rPr>
          <w:rFonts w:cs="宋体"/>
          <w:sz w:val="24"/>
          <w:szCs w:val="24"/>
        </w:rPr>
      </w:pPr>
      <w:r>
        <w:rPr>
          <w:rFonts w:hint="eastAsia" w:cs="宋体"/>
          <w:sz w:val="24"/>
          <w:szCs w:val="24"/>
        </w:rPr>
        <w:t>3.投标方认为所供货物必需由招标方配备、解决或提供的其它要求，如设备基础隔振和减振设施、软化水、洁净气源等，均应在投标文件“技术偏离”中予以充分说明。</w:t>
      </w:r>
    </w:p>
    <w:p>
      <w:pPr>
        <w:spacing w:line="440" w:lineRule="exact"/>
        <w:ind w:firstLine="480" w:firstLineChars="200"/>
        <w:rPr>
          <w:rFonts w:cs="宋体"/>
          <w:sz w:val="24"/>
          <w:szCs w:val="24"/>
        </w:rPr>
      </w:pPr>
      <w:r>
        <w:rPr>
          <w:rFonts w:hint="eastAsia" w:cs="宋体"/>
          <w:sz w:val="24"/>
          <w:szCs w:val="24"/>
        </w:rPr>
        <w:t>4.投标方应根据招投标货物具体要求，提出对厂房、设备基础（或安装平台）、公用设施、消防、环保等超出招标文件、投标文件、答疑文件、技术交流文件、技术标书和合同等规定的、有特殊需要的解释、说明和要求。</w:t>
      </w:r>
    </w:p>
    <w:p>
      <w:pPr>
        <w:spacing w:line="440" w:lineRule="exact"/>
        <w:ind w:firstLine="480" w:firstLineChars="200"/>
        <w:rPr>
          <w:rFonts w:cs="宋体"/>
          <w:sz w:val="24"/>
          <w:szCs w:val="24"/>
        </w:rPr>
      </w:pPr>
      <w:r>
        <w:rPr>
          <w:rFonts w:hint="eastAsia" w:cs="宋体"/>
          <w:sz w:val="24"/>
          <w:szCs w:val="24"/>
        </w:rPr>
        <w:t>5.无论是否有技术偏离，投标方均应在投标文件“技术偏离”中明确作出有无说明。若有异议，不管是多么微小，投标方必须予以明确和详细的说明或澄清。</w:t>
      </w:r>
    </w:p>
    <w:p>
      <w:pPr>
        <w:spacing w:line="440" w:lineRule="exact"/>
        <w:ind w:firstLine="480" w:firstLineChars="200"/>
        <w:rPr>
          <w:rFonts w:cs="宋体"/>
          <w:sz w:val="24"/>
          <w:szCs w:val="24"/>
        </w:rPr>
      </w:pPr>
      <w:r>
        <w:rPr>
          <w:rFonts w:hint="eastAsia" w:cs="宋体"/>
          <w:sz w:val="24"/>
          <w:szCs w:val="24"/>
        </w:rPr>
        <w:t>6.为避免投标方优势在招标评审时漏项，质保期超出本技术标书要求的，应当在投标文件“技术偏离”中特别注明。</w:t>
      </w:r>
    </w:p>
    <w:p>
      <w:pPr>
        <w:spacing w:line="440" w:lineRule="exact"/>
        <w:ind w:firstLine="480" w:firstLineChars="200"/>
        <w:rPr>
          <w:rFonts w:cs="宋体"/>
          <w:sz w:val="24"/>
          <w:szCs w:val="24"/>
        </w:rPr>
      </w:pPr>
      <w:r>
        <w:rPr>
          <w:rFonts w:hint="eastAsia" w:cs="宋体"/>
          <w:sz w:val="24"/>
          <w:szCs w:val="24"/>
        </w:rPr>
        <w:t>7.投标文件中，针对“特别提示”条款所做的回应，将作为投标方能否中标的重要依据之一。</w:t>
      </w:r>
    </w:p>
    <w:p>
      <w:pPr>
        <w:spacing w:line="440" w:lineRule="exact"/>
        <w:ind w:firstLine="482" w:firstLineChars="200"/>
        <w:rPr>
          <w:rFonts w:cs="宋体"/>
          <w:b/>
          <w:bCs/>
          <w:sz w:val="24"/>
          <w:szCs w:val="24"/>
        </w:rPr>
      </w:pPr>
      <w:r>
        <w:rPr>
          <w:rFonts w:hint="eastAsia" w:cs="宋体"/>
          <w:b/>
          <w:bCs/>
          <w:sz w:val="24"/>
          <w:szCs w:val="24"/>
        </w:rPr>
        <w:t>二、基本要求</w:t>
      </w:r>
    </w:p>
    <w:p>
      <w:pPr>
        <w:spacing w:line="440" w:lineRule="exact"/>
        <w:ind w:firstLine="480" w:firstLineChars="200"/>
        <w:rPr>
          <w:rFonts w:cs="宋体"/>
          <w:sz w:val="24"/>
          <w:szCs w:val="24"/>
        </w:rPr>
      </w:pPr>
      <w:r>
        <w:rPr>
          <w:rFonts w:hint="eastAsia" w:cs="宋体"/>
          <w:sz w:val="24"/>
          <w:szCs w:val="24"/>
        </w:rPr>
        <w:t>1.投标方所供的货物，必须符合中国最新版的法律、法规和相关标准、规范的要求，符合项目所在地政府有关特殊要求。</w:t>
      </w:r>
    </w:p>
    <w:p>
      <w:pPr>
        <w:spacing w:line="440" w:lineRule="exact"/>
        <w:ind w:firstLine="480" w:firstLineChars="200"/>
        <w:rPr>
          <w:rFonts w:cs="宋体"/>
          <w:sz w:val="24"/>
          <w:szCs w:val="24"/>
        </w:rPr>
      </w:pPr>
      <w:r>
        <w:rPr>
          <w:rFonts w:hint="eastAsia" w:cs="宋体"/>
          <w:sz w:val="24"/>
          <w:szCs w:val="24"/>
        </w:rPr>
        <w:t>2.投标方所供货物涉及的专利权技术以及知识产权保护的其它技术等，应保证招标方不因此受到任何侵权指控以及实际损失。</w:t>
      </w:r>
    </w:p>
    <w:p>
      <w:pPr>
        <w:spacing w:line="440" w:lineRule="exact"/>
        <w:ind w:firstLine="480" w:firstLineChars="200"/>
        <w:rPr>
          <w:rFonts w:cs="宋体"/>
          <w:sz w:val="24"/>
          <w:szCs w:val="24"/>
        </w:rPr>
      </w:pPr>
      <w:r>
        <w:rPr>
          <w:rFonts w:hint="eastAsia" w:cs="宋体"/>
          <w:sz w:val="24"/>
          <w:szCs w:val="24"/>
        </w:rPr>
        <w:t>3.投标方应保证所供货物的先进性、可靠性、经济性和实用性。</w:t>
      </w:r>
    </w:p>
    <w:p>
      <w:pPr>
        <w:spacing w:line="440" w:lineRule="exact"/>
        <w:ind w:firstLine="480" w:firstLineChars="200"/>
        <w:rPr>
          <w:rFonts w:cs="宋体"/>
          <w:sz w:val="24"/>
          <w:szCs w:val="24"/>
        </w:rPr>
      </w:pPr>
      <w:r>
        <w:rPr>
          <w:rFonts w:hint="eastAsia" w:cs="宋体"/>
          <w:sz w:val="24"/>
          <w:szCs w:val="24"/>
        </w:rPr>
        <w:t>4.投标方应满足招标方提出的各项技术要求，必要时应当免费提供技术承诺或担保。</w:t>
      </w:r>
    </w:p>
    <w:p>
      <w:pPr>
        <w:spacing w:line="440" w:lineRule="exact"/>
        <w:ind w:firstLine="480" w:firstLineChars="200"/>
        <w:rPr>
          <w:rFonts w:cs="宋体"/>
          <w:sz w:val="24"/>
          <w:szCs w:val="24"/>
        </w:rPr>
      </w:pPr>
      <w:r>
        <w:rPr>
          <w:rFonts w:hint="eastAsia" w:cs="宋体"/>
          <w:sz w:val="24"/>
          <w:szCs w:val="24"/>
        </w:rPr>
        <w:t>5.投标方应保证所供货物（或设备）为中国政府指定或规定的主管部门公布的非淘汰货物（或设备），并尽力提供中国政府指定或规定的主管部门认可的环保型和节能型货物（或设备）。</w:t>
      </w:r>
    </w:p>
    <w:p>
      <w:pPr>
        <w:spacing w:line="440" w:lineRule="exact"/>
        <w:ind w:firstLine="480" w:firstLineChars="200"/>
        <w:rPr>
          <w:rFonts w:cs="宋体"/>
          <w:sz w:val="24"/>
          <w:szCs w:val="24"/>
        </w:rPr>
      </w:pPr>
      <w:r>
        <w:rPr>
          <w:rFonts w:hint="eastAsia" w:cs="宋体"/>
          <w:sz w:val="24"/>
          <w:szCs w:val="24"/>
        </w:rPr>
        <w:t>6.投标方应保证所供货物的完整性和成套性，能保证货物的正常运行、使用。</w:t>
      </w:r>
    </w:p>
    <w:p>
      <w:pPr>
        <w:spacing w:line="440" w:lineRule="exact"/>
        <w:ind w:firstLine="480" w:firstLineChars="200"/>
        <w:rPr>
          <w:rFonts w:cs="宋体"/>
          <w:sz w:val="24"/>
          <w:szCs w:val="24"/>
        </w:rPr>
      </w:pPr>
      <w:r>
        <w:rPr>
          <w:rFonts w:hint="eastAsia" w:cs="宋体"/>
          <w:sz w:val="24"/>
          <w:szCs w:val="24"/>
        </w:rPr>
        <w:t>7.投标方应对招标方采购的货物所涉及的技术、产能等信息负有保密义务，招标方拥有追究投标方泄密责任的权利；招标方如有需要，投标方应无条件签署保密协议</w:t>
      </w:r>
    </w:p>
    <w:p>
      <w:pPr>
        <w:spacing w:line="440" w:lineRule="exact"/>
        <w:ind w:firstLine="482" w:firstLineChars="200"/>
        <w:rPr>
          <w:rFonts w:cs="宋体"/>
          <w:b/>
          <w:bCs/>
          <w:sz w:val="24"/>
          <w:szCs w:val="24"/>
        </w:rPr>
      </w:pPr>
      <w:r>
        <w:rPr>
          <w:rFonts w:hint="eastAsia" w:cs="宋体"/>
          <w:b/>
          <w:bCs/>
          <w:sz w:val="24"/>
          <w:szCs w:val="24"/>
        </w:rPr>
        <w:t>三、执行标准</w:t>
      </w:r>
    </w:p>
    <w:p>
      <w:pPr>
        <w:spacing w:line="440" w:lineRule="exact"/>
        <w:ind w:firstLine="480" w:firstLineChars="200"/>
        <w:rPr>
          <w:rFonts w:cs="宋体"/>
          <w:sz w:val="24"/>
          <w:szCs w:val="24"/>
        </w:rPr>
      </w:pPr>
      <w:r>
        <w:rPr>
          <w:rFonts w:hint="eastAsia" w:cs="宋体"/>
          <w:sz w:val="24"/>
          <w:szCs w:val="24"/>
        </w:rPr>
        <w:t>1.招标方此处所列标准仅为涉及的主要标准，而且不保证其为最新版执行标准；投标方应当在投标文件中认真予以填写、补充和修改完善。</w:t>
      </w:r>
    </w:p>
    <w:p>
      <w:pPr>
        <w:spacing w:line="440" w:lineRule="exact"/>
        <w:ind w:firstLine="480" w:firstLineChars="200"/>
        <w:rPr>
          <w:rFonts w:cs="宋体"/>
          <w:sz w:val="24"/>
          <w:szCs w:val="24"/>
        </w:rPr>
      </w:pPr>
      <w:r>
        <w:rPr>
          <w:rFonts w:hint="eastAsia" w:cs="宋体"/>
          <w:sz w:val="24"/>
          <w:szCs w:val="24"/>
        </w:rPr>
        <w:t>2.投标方需要执行的标准，应当采用所供货物通过买方组织/的最终验收之日已经开始执行的最新标准。</w:t>
      </w:r>
    </w:p>
    <w:p>
      <w:pPr>
        <w:spacing w:line="440" w:lineRule="exact"/>
        <w:ind w:firstLine="480" w:firstLineChars="200"/>
        <w:rPr>
          <w:rFonts w:cs="宋体"/>
          <w:sz w:val="24"/>
          <w:szCs w:val="24"/>
        </w:rPr>
      </w:pPr>
      <w:r>
        <w:rPr>
          <w:rFonts w:hint="eastAsia" w:cs="宋体"/>
          <w:sz w:val="24"/>
          <w:szCs w:val="24"/>
        </w:rPr>
        <w:t>3.采购货物的产品质量、技术标准如在招投标文件中无相应说明，则按中华人民共和国有关部门颁发的最新的国标或专业（部）标准执行及相应的国际标准。</w:t>
      </w:r>
    </w:p>
    <w:p>
      <w:pPr>
        <w:spacing w:line="440" w:lineRule="exact"/>
        <w:ind w:firstLine="480" w:firstLineChars="200"/>
        <w:rPr>
          <w:rFonts w:cs="宋体"/>
          <w:sz w:val="24"/>
          <w:szCs w:val="24"/>
        </w:rPr>
      </w:pPr>
      <w:r>
        <w:rPr>
          <w:rFonts w:hint="eastAsia" w:cs="宋体"/>
          <w:sz w:val="24"/>
          <w:szCs w:val="24"/>
        </w:rPr>
        <w:t>4.采购货物没有国家或专业（部）标准的，按企业标准执行时，卖方应在合同签署之前，将所涉及的企业标准提供给买方确认。</w:t>
      </w:r>
    </w:p>
    <w:p>
      <w:pPr>
        <w:spacing w:line="440" w:lineRule="exact"/>
        <w:ind w:firstLine="480" w:firstLineChars="200"/>
        <w:rPr>
          <w:rFonts w:cs="宋体"/>
          <w:sz w:val="24"/>
          <w:szCs w:val="24"/>
        </w:rPr>
      </w:pPr>
      <w:r>
        <w:rPr>
          <w:rFonts w:hint="eastAsia" w:cs="宋体"/>
          <w:sz w:val="24"/>
          <w:szCs w:val="24"/>
        </w:rPr>
        <w:t>5.采购货物如果采用国际标准，其执行标准由投标方提供、招标方确认。</w:t>
      </w:r>
    </w:p>
    <w:p>
      <w:pPr>
        <w:spacing w:line="440" w:lineRule="exact"/>
        <w:ind w:firstLine="480" w:firstLineChars="200"/>
        <w:rPr>
          <w:rFonts w:cs="宋体"/>
          <w:sz w:val="24"/>
          <w:szCs w:val="24"/>
        </w:rPr>
      </w:pPr>
      <w:r>
        <w:rPr>
          <w:rFonts w:hint="eastAsia" w:cs="宋体"/>
          <w:sz w:val="24"/>
          <w:szCs w:val="24"/>
        </w:rPr>
        <w:t>6.采购货物所涉及的标准不统一时，原则上按照最严格标准执行。</w:t>
      </w:r>
    </w:p>
    <w:p>
      <w:pPr>
        <w:spacing w:line="440" w:lineRule="exact"/>
        <w:ind w:firstLine="480" w:firstLineChars="200"/>
        <w:rPr>
          <w:rFonts w:cs="宋体"/>
          <w:sz w:val="24"/>
          <w:szCs w:val="24"/>
        </w:rPr>
      </w:pPr>
      <w:r>
        <w:rPr>
          <w:rFonts w:hint="eastAsia" w:cs="宋体"/>
          <w:sz w:val="24"/>
          <w:szCs w:val="24"/>
        </w:rPr>
        <w:t>7.涉及的主要标准表</w:t>
      </w:r>
    </w:p>
    <w:tbl>
      <w:tblPr>
        <w:tblStyle w:val="77"/>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1122"/>
        <w:gridCol w:w="5633"/>
        <w:gridCol w:w="2098"/>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tblHeader/>
          <w:jc w:val="center"/>
        </w:trPr>
        <w:tc>
          <w:tcPr>
            <w:tcW w:w="1122" w:type="dxa"/>
            <w:shd w:val="clear" w:color="auto" w:fill="auto"/>
            <w:vAlign w:val="center"/>
          </w:tcPr>
          <w:p>
            <w:pPr>
              <w:jc w:val="center"/>
              <w:rPr>
                <w:rFonts w:ascii="宋体" w:hAnsi="宋体" w:cs="宋体"/>
                <w:kern w:val="0"/>
                <w:sz w:val="24"/>
                <w:szCs w:val="24"/>
              </w:rPr>
            </w:pPr>
            <w:r>
              <w:rPr>
                <w:rFonts w:hint="eastAsia" w:ascii="宋体" w:hAnsi="宋体" w:cs="宋体"/>
                <w:kern w:val="0"/>
                <w:sz w:val="24"/>
                <w:szCs w:val="24"/>
              </w:rPr>
              <w:t>序号</w:t>
            </w:r>
          </w:p>
        </w:tc>
        <w:tc>
          <w:tcPr>
            <w:tcW w:w="5633" w:type="dxa"/>
            <w:shd w:val="clear" w:color="auto" w:fill="auto"/>
            <w:vAlign w:val="center"/>
          </w:tcPr>
          <w:p>
            <w:pPr>
              <w:jc w:val="center"/>
              <w:rPr>
                <w:rFonts w:ascii="宋体" w:hAnsi="宋体" w:cs="宋体"/>
                <w:kern w:val="0"/>
                <w:sz w:val="24"/>
                <w:szCs w:val="24"/>
              </w:rPr>
            </w:pPr>
            <w:r>
              <w:rPr>
                <w:rFonts w:hint="eastAsia" w:ascii="宋体" w:hAnsi="宋体" w:cs="宋体"/>
                <w:kern w:val="0"/>
                <w:sz w:val="24"/>
                <w:szCs w:val="24"/>
              </w:rPr>
              <w:t>标准名称</w:t>
            </w:r>
          </w:p>
        </w:tc>
        <w:tc>
          <w:tcPr>
            <w:tcW w:w="2098" w:type="dxa"/>
            <w:shd w:val="clear" w:color="auto" w:fill="auto"/>
            <w:vAlign w:val="center"/>
          </w:tcPr>
          <w:p>
            <w:pPr>
              <w:jc w:val="center"/>
              <w:rPr>
                <w:rFonts w:ascii="宋体" w:hAnsi="宋体" w:cs="宋体"/>
                <w:kern w:val="0"/>
                <w:sz w:val="24"/>
                <w:szCs w:val="24"/>
              </w:rPr>
            </w:pPr>
            <w:r>
              <w:rPr>
                <w:rFonts w:hint="eastAsia" w:ascii="宋体" w:hAnsi="宋体" w:cs="宋体"/>
                <w:kern w:val="0"/>
                <w:sz w:val="24"/>
                <w:szCs w:val="24"/>
              </w:rPr>
              <w:t>标准编号</w:t>
            </w:r>
          </w:p>
        </w:tc>
        <w:tc>
          <w:tcPr>
            <w:tcW w:w="681" w:type="dxa"/>
            <w:shd w:val="clear" w:color="auto" w:fill="auto"/>
            <w:vAlign w:val="center"/>
          </w:tcPr>
          <w:p>
            <w:pPr>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jc w:val="center"/>
              <w:rPr>
                <w:rFonts w:ascii="宋体" w:hAnsi="宋体" w:cs="宋体"/>
                <w:sz w:val="24"/>
                <w:szCs w:val="24"/>
              </w:rPr>
            </w:pPr>
            <w:r>
              <w:rPr>
                <w:rFonts w:hint="eastAsia" w:ascii="宋体" w:hAnsi="宋体" w:cs="宋体"/>
                <w:sz w:val="24"/>
                <w:szCs w:val="24"/>
              </w:rPr>
              <w:t>1</w:t>
            </w:r>
          </w:p>
        </w:tc>
        <w:tc>
          <w:tcPr>
            <w:tcW w:w="5633" w:type="dxa"/>
            <w:shd w:val="clear" w:color="auto" w:fill="auto"/>
            <w:vAlign w:val="center"/>
          </w:tcPr>
          <w:p>
            <w:pPr>
              <w:adjustRightInd w:val="0"/>
              <w:snapToGrid w:val="0"/>
              <w:jc w:val="center"/>
              <w:rPr>
                <w:rFonts w:ascii="宋体" w:hAnsi="宋体" w:cs="宋体"/>
                <w:sz w:val="24"/>
                <w:szCs w:val="24"/>
              </w:rPr>
            </w:pPr>
            <w:r>
              <w:rPr>
                <w:rFonts w:hint="eastAsia" w:ascii="宋体" w:hAnsi="宋体" w:cs="宋体"/>
                <w:sz w:val="24"/>
                <w:szCs w:val="24"/>
              </w:rPr>
              <w:t>《机械设备安装工程施工及验收规范》</w:t>
            </w:r>
          </w:p>
        </w:tc>
        <w:tc>
          <w:tcPr>
            <w:tcW w:w="2098" w:type="dxa"/>
            <w:shd w:val="clear" w:color="auto" w:fill="auto"/>
            <w:vAlign w:val="center"/>
          </w:tcPr>
          <w:p>
            <w:pPr>
              <w:jc w:val="center"/>
              <w:rPr>
                <w:rFonts w:ascii="宋体" w:hAnsi="宋体" w:cs="宋体"/>
                <w:sz w:val="24"/>
                <w:szCs w:val="24"/>
              </w:rPr>
            </w:pPr>
            <w:r>
              <w:rPr>
                <w:rFonts w:hint="eastAsia" w:ascii="宋体" w:hAnsi="宋体" w:cs="宋体"/>
                <w:sz w:val="24"/>
                <w:szCs w:val="24"/>
              </w:rPr>
              <w:t>GB50231-98</w:t>
            </w:r>
          </w:p>
        </w:tc>
        <w:tc>
          <w:tcPr>
            <w:tcW w:w="681" w:type="dxa"/>
            <w:shd w:val="clear" w:color="auto" w:fill="auto"/>
            <w:vAlign w:val="center"/>
          </w:tcPr>
          <w:p>
            <w:pPr>
              <w:jc w:val="center"/>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jc w:val="center"/>
              <w:rPr>
                <w:rFonts w:ascii="宋体" w:hAnsi="宋体" w:cs="宋体"/>
                <w:sz w:val="24"/>
                <w:szCs w:val="24"/>
              </w:rPr>
            </w:pPr>
            <w:r>
              <w:rPr>
                <w:rFonts w:hint="eastAsia" w:ascii="宋体" w:hAnsi="宋体" w:cs="宋体"/>
                <w:sz w:val="24"/>
                <w:szCs w:val="24"/>
              </w:rPr>
              <w:t>2</w:t>
            </w:r>
          </w:p>
        </w:tc>
        <w:tc>
          <w:tcPr>
            <w:tcW w:w="5633" w:type="dxa"/>
            <w:shd w:val="clear" w:color="auto" w:fill="auto"/>
            <w:vAlign w:val="center"/>
          </w:tcPr>
          <w:p>
            <w:pPr>
              <w:jc w:val="center"/>
              <w:rPr>
                <w:rFonts w:ascii="宋体" w:hAnsi="宋体" w:cs="宋体"/>
                <w:sz w:val="24"/>
                <w:szCs w:val="24"/>
              </w:rPr>
            </w:pPr>
            <w:r>
              <w:rPr>
                <w:rFonts w:hint="eastAsia" w:ascii="宋体" w:hAnsi="宋体" w:cs="宋体"/>
                <w:sz w:val="24"/>
                <w:szCs w:val="24"/>
              </w:rPr>
              <w:t>《机械工程建设项目职业安全卫生设计规范》</w:t>
            </w:r>
          </w:p>
        </w:tc>
        <w:tc>
          <w:tcPr>
            <w:tcW w:w="2098" w:type="dxa"/>
            <w:shd w:val="clear" w:color="auto" w:fill="auto"/>
            <w:vAlign w:val="center"/>
          </w:tcPr>
          <w:p>
            <w:pPr>
              <w:jc w:val="center"/>
              <w:rPr>
                <w:rFonts w:ascii="宋体" w:hAnsi="宋体" w:cs="宋体"/>
                <w:sz w:val="24"/>
                <w:szCs w:val="24"/>
              </w:rPr>
            </w:pPr>
            <w:r>
              <w:rPr>
                <w:rFonts w:hint="eastAsia" w:ascii="宋体" w:hAnsi="宋体" w:cs="宋体"/>
                <w:sz w:val="24"/>
                <w:szCs w:val="24"/>
              </w:rPr>
              <w:t>GB 51155-2016</w:t>
            </w:r>
          </w:p>
        </w:tc>
        <w:tc>
          <w:tcPr>
            <w:tcW w:w="681" w:type="dxa"/>
            <w:shd w:val="clear" w:color="auto" w:fill="auto"/>
            <w:vAlign w:val="center"/>
          </w:tcPr>
          <w:p>
            <w:pPr>
              <w:jc w:val="center"/>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jc w:val="center"/>
              <w:rPr>
                <w:rFonts w:ascii="宋体" w:hAnsi="宋体" w:cs="宋体"/>
                <w:sz w:val="24"/>
                <w:szCs w:val="24"/>
              </w:rPr>
            </w:pPr>
            <w:r>
              <w:rPr>
                <w:rFonts w:hint="eastAsia" w:ascii="宋体" w:hAnsi="宋体" w:cs="宋体"/>
                <w:sz w:val="24"/>
                <w:szCs w:val="24"/>
              </w:rPr>
              <w:t>3</w:t>
            </w:r>
          </w:p>
        </w:tc>
        <w:tc>
          <w:tcPr>
            <w:tcW w:w="5633" w:type="dxa"/>
            <w:shd w:val="clear" w:color="auto" w:fill="auto"/>
            <w:vAlign w:val="center"/>
          </w:tcPr>
          <w:p>
            <w:pPr>
              <w:jc w:val="center"/>
              <w:rPr>
                <w:rFonts w:ascii="宋体" w:hAnsi="宋体" w:cs="宋体"/>
                <w:sz w:val="24"/>
                <w:szCs w:val="24"/>
              </w:rPr>
            </w:pPr>
            <w:r>
              <w:rPr>
                <w:rFonts w:hint="eastAsia" w:ascii="宋体" w:hAnsi="宋体" w:cs="宋体"/>
                <w:sz w:val="24"/>
                <w:szCs w:val="24"/>
              </w:rPr>
              <w:t>《机械工业环境保护设计规范》</w:t>
            </w:r>
          </w:p>
        </w:tc>
        <w:tc>
          <w:tcPr>
            <w:tcW w:w="2098" w:type="dxa"/>
            <w:shd w:val="clear" w:color="auto" w:fill="auto"/>
            <w:vAlign w:val="center"/>
          </w:tcPr>
          <w:p>
            <w:pPr>
              <w:jc w:val="center"/>
              <w:rPr>
                <w:rFonts w:ascii="宋体" w:hAnsi="宋体" w:cs="宋体"/>
                <w:sz w:val="24"/>
                <w:szCs w:val="24"/>
              </w:rPr>
            </w:pPr>
            <w:r>
              <w:rPr>
                <w:rFonts w:hint="eastAsia" w:ascii="宋体" w:hAnsi="宋体" w:cs="宋体"/>
                <w:sz w:val="24"/>
                <w:szCs w:val="24"/>
              </w:rPr>
              <w:t>GB 50894-2013</w:t>
            </w:r>
          </w:p>
        </w:tc>
        <w:tc>
          <w:tcPr>
            <w:tcW w:w="681" w:type="dxa"/>
            <w:shd w:val="clear" w:color="auto" w:fill="auto"/>
            <w:vAlign w:val="center"/>
          </w:tcPr>
          <w:p>
            <w:pPr>
              <w:jc w:val="center"/>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jc w:val="center"/>
              <w:rPr>
                <w:rFonts w:ascii="宋体" w:hAnsi="宋体" w:cs="宋体"/>
                <w:sz w:val="24"/>
                <w:szCs w:val="24"/>
              </w:rPr>
            </w:pPr>
            <w:r>
              <w:rPr>
                <w:rFonts w:hint="eastAsia" w:ascii="宋体" w:hAnsi="宋体" w:cs="宋体"/>
                <w:sz w:val="24"/>
                <w:szCs w:val="24"/>
              </w:rPr>
              <w:t>4</w:t>
            </w:r>
          </w:p>
        </w:tc>
        <w:tc>
          <w:tcPr>
            <w:tcW w:w="5633" w:type="dxa"/>
            <w:shd w:val="clear" w:color="auto" w:fill="auto"/>
            <w:vAlign w:val="center"/>
          </w:tcPr>
          <w:p>
            <w:pPr>
              <w:jc w:val="center"/>
              <w:rPr>
                <w:rFonts w:ascii="宋体" w:hAnsi="宋体" w:cs="宋体"/>
                <w:sz w:val="24"/>
                <w:szCs w:val="24"/>
              </w:rPr>
            </w:pPr>
            <w:r>
              <w:rPr>
                <w:rFonts w:hint="eastAsia" w:ascii="宋体" w:hAnsi="宋体" w:cs="宋体"/>
                <w:sz w:val="24"/>
                <w:szCs w:val="24"/>
              </w:rPr>
              <w:t>《工业企业设计卫生标准》</w:t>
            </w:r>
          </w:p>
        </w:tc>
        <w:tc>
          <w:tcPr>
            <w:tcW w:w="2098" w:type="dxa"/>
            <w:shd w:val="clear" w:color="auto" w:fill="auto"/>
            <w:vAlign w:val="center"/>
          </w:tcPr>
          <w:p>
            <w:pPr>
              <w:jc w:val="center"/>
              <w:rPr>
                <w:rFonts w:ascii="宋体" w:hAnsi="宋体" w:cs="宋体"/>
                <w:sz w:val="24"/>
                <w:szCs w:val="24"/>
              </w:rPr>
            </w:pPr>
            <w:r>
              <w:rPr>
                <w:rFonts w:hint="eastAsia" w:ascii="宋体" w:hAnsi="宋体" w:cs="宋体"/>
                <w:sz w:val="24"/>
                <w:szCs w:val="24"/>
              </w:rPr>
              <w:t>GBZ1-2010</w:t>
            </w:r>
          </w:p>
        </w:tc>
        <w:tc>
          <w:tcPr>
            <w:tcW w:w="681" w:type="dxa"/>
            <w:shd w:val="clear" w:color="auto" w:fill="auto"/>
            <w:vAlign w:val="center"/>
          </w:tcPr>
          <w:p>
            <w:pPr>
              <w:jc w:val="center"/>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jc w:val="center"/>
              <w:rPr>
                <w:rFonts w:ascii="宋体" w:hAnsi="宋体" w:cs="宋体"/>
                <w:sz w:val="24"/>
                <w:szCs w:val="24"/>
              </w:rPr>
            </w:pPr>
            <w:r>
              <w:rPr>
                <w:rFonts w:hint="eastAsia" w:ascii="宋体" w:hAnsi="宋体" w:cs="宋体"/>
                <w:sz w:val="24"/>
                <w:szCs w:val="24"/>
              </w:rPr>
              <w:t>5</w:t>
            </w:r>
          </w:p>
        </w:tc>
        <w:tc>
          <w:tcPr>
            <w:tcW w:w="5633" w:type="dxa"/>
            <w:shd w:val="clear" w:color="auto" w:fill="auto"/>
            <w:vAlign w:val="center"/>
          </w:tcPr>
          <w:p>
            <w:pPr>
              <w:adjustRightInd w:val="0"/>
              <w:snapToGrid w:val="0"/>
              <w:ind w:firstLine="1200" w:firstLineChars="500"/>
              <w:rPr>
                <w:rFonts w:ascii="宋体" w:hAnsi="宋体" w:cs="宋体"/>
                <w:sz w:val="24"/>
                <w:szCs w:val="24"/>
              </w:rPr>
            </w:pPr>
            <w:r>
              <w:rPr>
                <w:rFonts w:hint="eastAsia" w:ascii="宋体" w:hAnsi="宋体" w:cs="宋体"/>
                <w:sz w:val="24"/>
                <w:szCs w:val="24"/>
              </w:rPr>
              <w:t>《工业企业噪声控制设计规范》</w:t>
            </w:r>
          </w:p>
        </w:tc>
        <w:tc>
          <w:tcPr>
            <w:tcW w:w="2098" w:type="dxa"/>
            <w:shd w:val="clear" w:color="auto" w:fill="auto"/>
            <w:vAlign w:val="center"/>
          </w:tcPr>
          <w:p>
            <w:pPr>
              <w:adjustRightInd w:val="0"/>
              <w:snapToGrid w:val="0"/>
              <w:jc w:val="center"/>
              <w:rPr>
                <w:rFonts w:ascii="宋体" w:hAnsi="宋体" w:cs="宋体"/>
                <w:kern w:val="0"/>
                <w:sz w:val="24"/>
                <w:szCs w:val="24"/>
              </w:rPr>
            </w:pPr>
            <w:r>
              <w:rPr>
                <w:rFonts w:hint="eastAsia" w:ascii="宋体" w:hAnsi="宋体" w:cs="宋体"/>
                <w:kern w:val="0"/>
                <w:sz w:val="24"/>
                <w:szCs w:val="24"/>
              </w:rPr>
              <w:t>GB/T50087-2013</w:t>
            </w:r>
          </w:p>
        </w:tc>
        <w:tc>
          <w:tcPr>
            <w:tcW w:w="681" w:type="dxa"/>
            <w:shd w:val="clear" w:color="auto" w:fill="auto"/>
            <w:vAlign w:val="center"/>
          </w:tcPr>
          <w:p>
            <w:pPr>
              <w:jc w:val="center"/>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jc w:val="center"/>
              <w:rPr>
                <w:rFonts w:ascii="宋体" w:hAnsi="宋体" w:cs="宋体"/>
                <w:sz w:val="24"/>
                <w:szCs w:val="24"/>
              </w:rPr>
            </w:pPr>
            <w:r>
              <w:rPr>
                <w:rFonts w:hint="eastAsia" w:ascii="宋体" w:hAnsi="宋体" w:cs="宋体"/>
                <w:sz w:val="24"/>
                <w:szCs w:val="24"/>
              </w:rPr>
              <w:t>6</w:t>
            </w:r>
          </w:p>
        </w:tc>
        <w:tc>
          <w:tcPr>
            <w:tcW w:w="5633" w:type="dxa"/>
            <w:shd w:val="clear" w:color="auto" w:fill="auto"/>
            <w:vAlign w:val="center"/>
          </w:tcPr>
          <w:p>
            <w:pPr>
              <w:jc w:val="center"/>
              <w:rPr>
                <w:rFonts w:ascii="宋体" w:hAnsi="宋体" w:cs="宋体"/>
                <w:sz w:val="24"/>
                <w:szCs w:val="24"/>
              </w:rPr>
            </w:pPr>
            <w:r>
              <w:rPr>
                <w:rFonts w:hint="eastAsia" w:ascii="宋体" w:hAnsi="宋体" w:cs="宋体"/>
                <w:bCs/>
                <w:sz w:val="24"/>
                <w:szCs w:val="24"/>
              </w:rPr>
              <w:t>《现场设备、工业管道焊接工程施工及验收规范》</w:t>
            </w:r>
          </w:p>
        </w:tc>
        <w:tc>
          <w:tcPr>
            <w:tcW w:w="2098" w:type="dxa"/>
            <w:shd w:val="clear" w:color="auto" w:fill="auto"/>
            <w:vAlign w:val="center"/>
          </w:tcPr>
          <w:p>
            <w:pPr>
              <w:jc w:val="center"/>
              <w:rPr>
                <w:rFonts w:ascii="宋体" w:hAnsi="宋体" w:cs="宋体"/>
                <w:kern w:val="0"/>
                <w:sz w:val="24"/>
                <w:szCs w:val="24"/>
                <w:lang w:val="de-DE"/>
              </w:rPr>
            </w:pPr>
            <w:r>
              <w:rPr>
                <w:rFonts w:hint="eastAsia" w:ascii="宋体" w:hAnsi="宋体" w:cs="宋体"/>
                <w:kern w:val="0"/>
                <w:sz w:val="24"/>
                <w:szCs w:val="24"/>
                <w:lang w:val="de-DE"/>
              </w:rPr>
              <w:t>GB 50683-2011</w:t>
            </w:r>
          </w:p>
        </w:tc>
        <w:tc>
          <w:tcPr>
            <w:tcW w:w="681" w:type="dxa"/>
            <w:shd w:val="clear" w:color="auto" w:fill="auto"/>
            <w:vAlign w:val="center"/>
          </w:tcPr>
          <w:p>
            <w:pPr>
              <w:jc w:val="center"/>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jc w:val="center"/>
              <w:rPr>
                <w:rFonts w:ascii="宋体" w:hAnsi="宋体" w:cs="宋体"/>
                <w:sz w:val="24"/>
                <w:szCs w:val="24"/>
              </w:rPr>
            </w:pPr>
            <w:r>
              <w:rPr>
                <w:rFonts w:hint="eastAsia" w:ascii="宋体" w:hAnsi="宋体" w:cs="宋体"/>
                <w:sz w:val="24"/>
                <w:szCs w:val="24"/>
              </w:rPr>
              <w:t>7</w:t>
            </w:r>
          </w:p>
        </w:tc>
        <w:tc>
          <w:tcPr>
            <w:tcW w:w="5633" w:type="dxa"/>
            <w:shd w:val="clear" w:color="auto" w:fill="auto"/>
            <w:vAlign w:val="center"/>
          </w:tcPr>
          <w:p>
            <w:pPr>
              <w:jc w:val="center"/>
              <w:rPr>
                <w:rFonts w:ascii="宋体" w:hAnsi="宋体" w:cs="宋体"/>
                <w:bCs/>
                <w:sz w:val="24"/>
                <w:szCs w:val="24"/>
              </w:rPr>
            </w:pPr>
            <w:r>
              <w:rPr>
                <w:rFonts w:hint="eastAsia" w:ascii="宋体" w:hAnsi="宋体" w:cs="宋体"/>
                <w:bCs/>
                <w:sz w:val="24"/>
                <w:szCs w:val="24"/>
              </w:rPr>
              <w:t>《建筑安装工程质量检验评定统一标准》</w:t>
            </w:r>
          </w:p>
        </w:tc>
        <w:tc>
          <w:tcPr>
            <w:tcW w:w="2098" w:type="dxa"/>
            <w:shd w:val="clear" w:color="auto" w:fill="auto"/>
            <w:vAlign w:val="center"/>
          </w:tcPr>
          <w:p>
            <w:pPr>
              <w:jc w:val="center"/>
              <w:rPr>
                <w:rFonts w:ascii="宋体" w:hAnsi="宋体" w:cs="宋体"/>
                <w:bCs/>
                <w:sz w:val="24"/>
                <w:szCs w:val="24"/>
              </w:rPr>
            </w:pPr>
            <w:r>
              <w:rPr>
                <w:rFonts w:hint="eastAsia" w:ascii="宋体" w:hAnsi="宋体" w:cs="宋体"/>
                <w:bCs/>
                <w:sz w:val="24"/>
                <w:szCs w:val="24"/>
              </w:rPr>
              <w:t>GB50300—2013</w:t>
            </w:r>
          </w:p>
        </w:tc>
        <w:tc>
          <w:tcPr>
            <w:tcW w:w="681" w:type="dxa"/>
            <w:shd w:val="clear" w:color="auto" w:fill="auto"/>
            <w:vAlign w:val="center"/>
          </w:tcPr>
          <w:p>
            <w:pPr>
              <w:jc w:val="center"/>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jc w:val="center"/>
              <w:rPr>
                <w:rFonts w:ascii="宋体" w:hAnsi="宋体" w:cs="宋体"/>
                <w:sz w:val="24"/>
                <w:szCs w:val="24"/>
              </w:rPr>
            </w:pPr>
            <w:r>
              <w:rPr>
                <w:rFonts w:hint="eastAsia" w:ascii="宋体" w:hAnsi="宋体" w:cs="宋体"/>
                <w:sz w:val="24"/>
                <w:szCs w:val="24"/>
              </w:rPr>
              <w:t>8</w:t>
            </w:r>
          </w:p>
        </w:tc>
        <w:tc>
          <w:tcPr>
            <w:tcW w:w="5633" w:type="dxa"/>
            <w:shd w:val="clear" w:color="auto" w:fill="auto"/>
            <w:vAlign w:val="center"/>
          </w:tcPr>
          <w:p>
            <w:pPr>
              <w:adjustRightInd w:val="0"/>
              <w:snapToGrid w:val="0"/>
              <w:jc w:val="center"/>
              <w:rPr>
                <w:rFonts w:ascii="宋体" w:hAnsi="宋体" w:cs="宋体"/>
                <w:bCs/>
                <w:sz w:val="24"/>
                <w:szCs w:val="24"/>
              </w:rPr>
            </w:pPr>
            <w:r>
              <w:rPr>
                <w:rFonts w:hint="eastAsia" w:ascii="宋体" w:hAnsi="宋体" w:cs="宋体"/>
                <w:bCs/>
                <w:sz w:val="24"/>
                <w:szCs w:val="24"/>
              </w:rPr>
              <w:t>《机械设备安装工程施工及验收规范通用规定》</w:t>
            </w:r>
          </w:p>
        </w:tc>
        <w:tc>
          <w:tcPr>
            <w:tcW w:w="2098" w:type="dxa"/>
            <w:shd w:val="clear" w:color="auto" w:fill="auto"/>
            <w:vAlign w:val="center"/>
          </w:tcPr>
          <w:p>
            <w:pPr>
              <w:jc w:val="center"/>
              <w:rPr>
                <w:rFonts w:ascii="宋体" w:hAnsi="宋体" w:cs="宋体"/>
                <w:bCs/>
                <w:sz w:val="24"/>
                <w:szCs w:val="24"/>
              </w:rPr>
            </w:pPr>
            <w:r>
              <w:rPr>
                <w:rFonts w:hint="eastAsia" w:ascii="宋体" w:hAnsi="宋体" w:cs="宋体"/>
                <w:bCs/>
                <w:sz w:val="24"/>
                <w:szCs w:val="24"/>
              </w:rPr>
              <w:t xml:space="preserve"> GB 50231—98</w:t>
            </w:r>
          </w:p>
        </w:tc>
        <w:tc>
          <w:tcPr>
            <w:tcW w:w="681" w:type="dxa"/>
            <w:shd w:val="clear" w:color="auto" w:fill="auto"/>
            <w:vAlign w:val="center"/>
          </w:tcPr>
          <w:p>
            <w:pPr>
              <w:jc w:val="center"/>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jc w:val="center"/>
              <w:rPr>
                <w:rFonts w:ascii="宋体" w:hAnsi="宋体" w:cs="宋体"/>
                <w:sz w:val="24"/>
                <w:szCs w:val="24"/>
              </w:rPr>
            </w:pPr>
            <w:r>
              <w:rPr>
                <w:rFonts w:hint="eastAsia" w:ascii="宋体" w:hAnsi="宋体" w:cs="宋体"/>
                <w:sz w:val="24"/>
                <w:szCs w:val="24"/>
              </w:rPr>
              <w:t>9</w:t>
            </w:r>
          </w:p>
        </w:tc>
        <w:tc>
          <w:tcPr>
            <w:tcW w:w="5633" w:type="dxa"/>
            <w:shd w:val="clear" w:color="auto" w:fill="auto"/>
            <w:vAlign w:val="center"/>
          </w:tcPr>
          <w:p>
            <w:pPr>
              <w:adjustRightInd w:val="0"/>
              <w:snapToGrid w:val="0"/>
              <w:ind w:firstLine="480" w:firstLineChars="200"/>
              <w:jc w:val="center"/>
              <w:rPr>
                <w:rFonts w:ascii="宋体" w:hAnsi="宋体" w:cs="宋体"/>
                <w:bCs/>
                <w:sz w:val="24"/>
                <w:szCs w:val="24"/>
              </w:rPr>
            </w:pPr>
            <w:r>
              <w:rPr>
                <w:rFonts w:hint="eastAsia" w:ascii="宋体" w:hAnsi="宋体" w:cs="宋体"/>
                <w:bCs/>
                <w:sz w:val="24"/>
                <w:szCs w:val="24"/>
              </w:rPr>
              <w:t>《机械设备安装工程施工及验收通用规范》</w:t>
            </w:r>
          </w:p>
        </w:tc>
        <w:tc>
          <w:tcPr>
            <w:tcW w:w="2098" w:type="dxa"/>
            <w:shd w:val="clear" w:color="auto" w:fill="auto"/>
            <w:vAlign w:val="center"/>
          </w:tcPr>
          <w:p>
            <w:pPr>
              <w:jc w:val="center"/>
              <w:rPr>
                <w:rFonts w:ascii="宋体" w:hAnsi="宋体" w:cs="宋体"/>
                <w:bCs/>
                <w:sz w:val="24"/>
                <w:szCs w:val="24"/>
              </w:rPr>
            </w:pPr>
            <w:r>
              <w:rPr>
                <w:rFonts w:hint="eastAsia" w:ascii="宋体" w:hAnsi="宋体" w:cs="宋体"/>
                <w:bCs/>
                <w:sz w:val="24"/>
                <w:szCs w:val="24"/>
              </w:rPr>
              <w:t>GB50231-98</w:t>
            </w:r>
          </w:p>
        </w:tc>
        <w:tc>
          <w:tcPr>
            <w:tcW w:w="681" w:type="dxa"/>
            <w:shd w:val="clear" w:color="auto" w:fill="auto"/>
            <w:vAlign w:val="center"/>
          </w:tcPr>
          <w:p>
            <w:pPr>
              <w:jc w:val="center"/>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0" w:hRule="atLeast"/>
          <w:jc w:val="center"/>
        </w:trPr>
        <w:tc>
          <w:tcPr>
            <w:tcW w:w="1122" w:type="dxa"/>
            <w:shd w:val="clear" w:color="auto" w:fill="auto"/>
            <w:vAlign w:val="center"/>
          </w:tcPr>
          <w:p>
            <w:pPr>
              <w:jc w:val="center"/>
              <w:rPr>
                <w:rFonts w:ascii="宋体" w:hAnsi="宋体" w:cs="宋体"/>
                <w:sz w:val="24"/>
                <w:szCs w:val="24"/>
              </w:rPr>
            </w:pPr>
            <w:r>
              <w:rPr>
                <w:rFonts w:hint="eastAsia" w:ascii="宋体" w:hAnsi="宋体" w:cs="宋体"/>
                <w:sz w:val="24"/>
                <w:szCs w:val="24"/>
              </w:rPr>
              <w:t>10</w:t>
            </w:r>
          </w:p>
        </w:tc>
        <w:tc>
          <w:tcPr>
            <w:tcW w:w="5633" w:type="dxa"/>
            <w:shd w:val="clear" w:color="auto" w:fill="auto"/>
            <w:vAlign w:val="center"/>
          </w:tcPr>
          <w:p>
            <w:pPr>
              <w:adjustRightInd w:val="0"/>
              <w:snapToGrid w:val="0"/>
              <w:ind w:firstLine="480" w:firstLineChars="200"/>
              <w:jc w:val="center"/>
              <w:rPr>
                <w:rFonts w:ascii="宋体" w:hAnsi="宋体" w:cs="宋体"/>
                <w:bCs/>
                <w:sz w:val="24"/>
                <w:szCs w:val="24"/>
              </w:rPr>
            </w:pPr>
            <w:r>
              <w:rPr>
                <w:rFonts w:hint="eastAsia" w:ascii="宋体" w:hAnsi="宋体" w:cs="宋体"/>
                <w:bCs/>
                <w:sz w:val="24"/>
                <w:szCs w:val="24"/>
              </w:rPr>
              <w:t>《工业安装工程质量检验评定统一标准》</w:t>
            </w:r>
          </w:p>
        </w:tc>
        <w:tc>
          <w:tcPr>
            <w:tcW w:w="2098" w:type="dxa"/>
            <w:shd w:val="clear" w:color="auto" w:fill="auto"/>
            <w:vAlign w:val="center"/>
          </w:tcPr>
          <w:p>
            <w:pPr>
              <w:jc w:val="center"/>
              <w:rPr>
                <w:rFonts w:ascii="宋体" w:hAnsi="宋体" w:cs="宋体"/>
                <w:bCs/>
                <w:sz w:val="24"/>
                <w:szCs w:val="24"/>
              </w:rPr>
            </w:pPr>
            <w:r>
              <w:rPr>
                <w:rFonts w:hint="eastAsia" w:ascii="宋体" w:hAnsi="宋体" w:cs="宋体"/>
                <w:bCs/>
                <w:sz w:val="24"/>
                <w:szCs w:val="24"/>
              </w:rPr>
              <w:t>GB/T 50252-2018</w:t>
            </w:r>
          </w:p>
        </w:tc>
        <w:tc>
          <w:tcPr>
            <w:tcW w:w="681" w:type="dxa"/>
            <w:shd w:val="clear" w:color="auto" w:fill="auto"/>
            <w:vAlign w:val="center"/>
          </w:tcPr>
          <w:p>
            <w:pPr>
              <w:jc w:val="center"/>
              <w:rPr>
                <w:rFonts w:ascii="宋体" w:hAnsi="宋体" w:cs="宋体"/>
                <w:color w:val="FF0000"/>
                <w:sz w:val="24"/>
                <w:szCs w:val="24"/>
              </w:rPr>
            </w:pPr>
          </w:p>
        </w:tc>
      </w:tr>
    </w:tbl>
    <w:p>
      <w:pPr>
        <w:spacing w:line="440" w:lineRule="exact"/>
        <w:ind w:firstLine="480" w:firstLineChars="200"/>
        <w:rPr>
          <w:rFonts w:cs="宋体"/>
          <w:sz w:val="24"/>
          <w:szCs w:val="24"/>
        </w:rPr>
      </w:pPr>
      <w:r>
        <w:rPr>
          <w:rFonts w:hint="eastAsia" w:cs="宋体"/>
          <w:sz w:val="24"/>
          <w:szCs w:val="24"/>
        </w:rPr>
        <w:t>8.安全、环境保护要求：符合国家有关法规。</w:t>
      </w:r>
    </w:p>
    <w:p>
      <w:pPr>
        <w:spacing w:line="440" w:lineRule="exact"/>
        <w:ind w:firstLine="480" w:firstLineChars="200"/>
        <w:rPr>
          <w:rFonts w:cs="宋体"/>
          <w:sz w:val="24"/>
          <w:szCs w:val="24"/>
        </w:rPr>
      </w:pPr>
      <w:r>
        <w:rPr>
          <w:rFonts w:hint="eastAsia" w:cs="宋体"/>
          <w:sz w:val="24"/>
          <w:szCs w:val="24"/>
        </w:rPr>
        <w:t>9.供货商提供的工艺设备必须符合国家、行业相应的质量标准和国家安全标准，同时满足设计图纸及我公司提出的技术要求。验收时出具产品检验合格证书。提供国家质量管理监督部门关于所购货品品质保证的相关证明。</w:t>
      </w:r>
    </w:p>
    <w:p>
      <w:pPr>
        <w:spacing w:line="440" w:lineRule="exact"/>
        <w:ind w:firstLine="482" w:firstLineChars="200"/>
        <w:rPr>
          <w:rFonts w:cs="宋体"/>
          <w:b/>
          <w:bCs/>
          <w:sz w:val="24"/>
          <w:szCs w:val="24"/>
        </w:rPr>
      </w:pPr>
      <w:r>
        <w:rPr>
          <w:rFonts w:hint="eastAsia" w:cs="宋体"/>
          <w:b/>
          <w:bCs/>
          <w:sz w:val="24"/>
          <w:szCs w:val="24"/>
        </w:rPr>
        <w:t>请投标人注意：</w:t>
      </w:r>
    </w:p>
    <w:p>
      <w:pPr>
        <w:spacing w:line="440" w:lineRule="exact"/>
        <w:ind w:firstLine="480" w:firstLineChars="200"/>
        <w:rPr>
          <w:rFonts w:cs="宋体"/>
          <w:sz w:val="24"/>
          <w:szCs w:val="24"/>
        </w:rPr>
      </w:pPr>
      <w:r>
        <w:rPr>
          <w:rFonts w:hint="eastAsia" w:cs="宋体"/>
          <w:sz w:val="24"/>
          <w:szCs w:val="24"/>
        </w:rPr>
        <w:t>本招标书中所有条款均为招标方对投标方的要求内容。不应因表达顺序而被投标方忽视。对每一项要求均要求投标书中对应明确是否满足。</w:t>
      </w:r>
    </w:p>
    <w:p>
      <w:pPr>
        <w:spacing w:line="440" w:lineRule="exact"/>
        <w:ind w:firstLine="482" w:firstLineChars="200"/>
        <w:rPr>
          <w:rFonts w:cs="宋体"/>
          <w:b/>
          <w:bCs/>
          <w:sz w:val="24"/>
          <w:szCs w:val="24"/>
        </w:rPr>
      </w:pPr>
      <w:r>
        <w:rPr>
          <w:rFonts w:hint="eastAsia" w:cs="宋体"/>
          <w:b/>
          <w:bCs/>
          <w:sz w:val="24"/>
          <w:szCs w:val="24"/>
        </w:rPr>
        <w:t>四、技术规范</w:t>
      </w:r>
    </w:p>
    <w:p>
      <w:pPr>
        <w:spacing w:line="420" w:lineRule="exact"/>
        <w:ind w:firstLine="480" w:firstLineChars="200"/>
        <w:rPr>
          <w:rFonts w:cs="宋体"/>
          <w:sz w:val="24"/>
          <w:szCs w:val="24"/>
        </w:rPr>
      </w:pPr>
      <w:r>
        <w:rPr>
          <w:rFonts w:hint="eastAsia" w:cs="宋体"/>
          <w:sz w:val="24"/>
          <w:szCs w:val="24"/>
        </w:rPr>
        <w:t>适用车型：轻卡、中重卡</w:t>
      </w:r>
    </w:p>
    <w:p>
      <w:pPr>
        <w:spacing w:line="420" w:lineRule="exact"/>
        <w:ind w:firstLine="480" w:firstLineChars="200"/>
        <w:rPr>
          <w:rFonts w:cs="宋体"/>
          <w:sz w:val="24"/>
          <w:szCs w:val="24"/>
        </w:rPr>
      </w:pPr>
      <w:r>
        <w:rPr>
          <w:rFonts w:hint="eastAsia" w:cs="宋体"/>
          <w:sz w:val="24"/>
          <w:szCs w:val="24"/>
        </w:rPr>
        <w:t>生产纲领：单班5万辆/年；</w:t>
      </w:r>
    </w:p>
    <w:p>
      <w:pPr>
        <w:spacing w:line="420" w:lineRule="exact"/>
        <w:ind w:firstLine="480" w:firstLineChars="200"/>
        <w:rPr>
          <w:rFonts w:cs="宋体"/>
          <w:sz w:val="24"/>
          <w:szCs w:val="24"/>
        </w:rPr>
      </w:pPr>
      <w:r>
        <w:rPr>
          <w:rFonts w:hint="eastAsia" w:cs="宋体"/>
          <w:sz w:val="24"/>
          <w:szCs w:val="24"/>
        </w:rPr>
        <w:t>生产节拍：3分钟；</w:t>
      </w:r>
    </w:p>
    <w:p>
      <w:pPr>
        <w:spacing w:line="420" w:lineRule="exact"/>
        <w:ind w:firstLine="480" w:firstLineChars="200"/>
        <w:rPr>
          <w:rFonts w:cs="宋体"/>
          <w:sz w:val="24"/>
          <w:szCs w:val="24"/>
        </w:rPr>
      </w:pPr>
      <w:r>
        <w:rPr>
          <w:rFonts w:hint="eastAsia" w:cs="宋体"/>
          <w:sz w:val="24"/>
          <w:szCs w:val="24"/>
        </w:rPr>
        <w:t>工装、设备使用寿命：大于40万辆；</w:t>
      </w:r>
    </w:p>
    <w:p>
      <w:pPr>
        <w:spacing w:line="420" w:lineRule="exact"/>
        <w:ind w:firstLine="480" w:firstLineChars="200"/>
        <w:rPr>
          <w:rFonts w:cs="宋体"/>
          <w:sz w:val="24"/>
          <w:szCs w:val="24"/>
        </w:rPr>
      </w:pPr>
      <w:r>
        <w:rPr>
          <w:rFonts w:hint="eastAsia" w:cs="宋体"/>
          <w:sz w:val="24"/>
          <w:szCs w:val="24"/>
        </w:rPr>
        <w:t>产品质量控制体系：应提供稳定可靠的质量检测方法，形成有效的质量问题预测的手段。</w:t>
      </w:r>
    </w:p>
    <w:p>
      <w:pPr>
        <w:spacing w:line="440" w:lineRule="exact"/>
        <w:ind w:firstLine="482" w:firstLineChars="200"/>
        <w:rPr>
          <w:rFonts w:cs="宋体"/>
          <w:b/>
          <w:bCs/>
          <w:sz w:val="24"/>
          <w:szCs w:val="24"/>
        </w:rPr>
      </w:pPr>
      <w:r>
        <w:rPr>
          <w:rFonts w:hint="eastAsia" w:cs="宋体"/>
          <w:b/>
          <w:bCs/>
          <w:sz w:val="24"/>
          <w:szCs w:val="24"/>
        </w:rPr>
        <w:t>五、技术要求：</w:t>
      </w:r>
    </w:p>
    <w:p>
      <w:pPr>
        <w:spacing w:line="420" w:lineRule="exact"/>
        <w:ind w:firstLine="482" w:firstLineChars="200"/>
        <w:rPr>
          <w:rFonts w:cs="宋体"/>
          <w:b/>
          <w:bCs/>
          <w:sz w:val="24"/>
          <w:szCs w:val="24"/>
        </w:rPr>
      </w:pPr>
      <w:r>
        <w:rPr>
          <w:rFonts w:hint="eastAsia" w:cs="宋体"/>
          <w:b/>
          <w:bCs/>
          <w:sz w:val="24"/>
          <w:szCs w:val="24"/>
        </w:rPr>
        <w:t>1.主要工艺流程及需要改造的设备清单：</w:t>
      </w:r>
    </w:p>
    <w:p>
      <w:pPr>
        <w:spacing w:line="420" w:lineRule="exact"/>
        <w:ind w:firstLine="480" w:firstLineChars="200"/>
        <w:rPr>
          <w:rFonts w:cs="宋体"/>
          <w:sz w:val="24"/>
          <w:szCs w:val="24"/>
        </w:rPr>
      </w:pPr>
      <w:r>
        <w:rPr>
          <w:rFonts w:hint="eastAsia" w:cs="宋体"/>
          <w:sz w:val="24"/>
          <w:szCs w:val="24"/>
        </w:rPr>
        <w:t>定值拧紧设备改造后主要工艺流程描述：</w:t>
      </w:r>
    </w:p>
    <w:p>
      <w:pPr>
        <w:spacing w:line="420" w:lineRule="exact"/>
        <w:ind w:firstLine="480" w:firstLineChars="200"/>
        <w:rPr>
          <w:rFonts w:cs="宋体"/>
          <w:sz w:val="24"/>
          <w:szCs w:val="24"/>
        </w:rPr>
      </w:pPr>
      <w:r>
        <w:rPr>
          <w:rFonts w:hint="eastAsia" w:cs="宋体"/>
          <w:sz w:val="24"/>
          <w:szCs w:val="24"/>
        </w:rPr>
        <w:t>改造后主要实现流程（方式）为：通过扫码设备扫描车辆VIN码（一维码或二维码均可），设备自动调取车辆的标准拧紧力矩值（拧紧力矩值由重汽海西公司负责维护），并自动设置工作拧紧参数，设备开始工作，然后存储实际拧紧力矩值。当设备实际拧紧力矩值与标准值偏离超过15%时，设备报警提示，由操作人员手工解除。</w:t>
      </w:r>
    </w:p>
    <w:p>
      <w:pPr>
        <w:spacing w:line="420" w:lineRule="exact"/>
        <w:ind w:firstLine="482" w:firstLineChars="200"/>
        <w:rPr>
          <w:rFonts w:cs="宋体"/>
          <w:b/>
          <w:bCs/>
          <w:sz w:val="24"/>
          <w:szCs w:val="24"/>
        </w:rPr>
      </w:pPr>
      <w:r>
        <w:rPr>
          <w:rFonts w:hint="eastAsia" w:cs="宋体"/>
          <w:b/>
          <w:bCs/>
          <w:sz w:val="24"/>
          <w:szCs w:val="24"/>
        </w:rPr>
        <w:t>1.1定量加注设备改造后的主要工艺流程描述：</w:t>
      </w:r>
    </w:p>
    <w:p>
      <w:pPr>
        <w:spacing w:line="420" w:lineRule="exact"/>
        <w:ind w:firstLine="480" w:firstLineChars="200"/>
        <w:rPr>
          <w:rFonts w:cs="宋体"/>
          <w:sz w:val="24"/>
          <w:szCs w:val="24"/>
        </w:rPr>
      </w:pPr>
      <w:r>
        <w:rPr>
          <w:rFonts w:hint="eastAsia" w:cs="宋体"/>
          <w:sz w:val="24"/>
          <w:szCs w:val="24"/>
        </w:rPr>
        <w:t>改造后定量加注主要实现流程（方式）为：通过扫码设备扫描车辆VIN码（一维码或二维码均可），设备自动调取车辆的标准加注量（加注量数值由重汽海西公司负责维护），并自动设置加注参数，设备开始工作，然后存储实际加注量。当设备实际加注量与标准值偏离超过2%时，设备报警提示，由操作人员手工解除。同时定量加注设备具有每天、每月实际加注量总和与标准加注量总和的数据收集功能。</w:t>
      </w:r>
    </w:p>
    <w:p>
      <w:pPr>
        <w:spacing w:line="420" w:lineRule="exact"/>
        <w:ind w:firstLine="482" w:firstLineChars="200"/>
        <w:rPr>
          <w:rFonts w:cs="宋体"/>
          <w:b/>
          <w:bCs/>
          <w:sz w:val="24"/>
          <w:szCs w:val="24"/>
        </w:rPr>
      </w:pPr>
      <w:r>
        <w:rPr>
          <w:rFonts w:hint="eastAsia" w:cs="宋体"/>
          <w:b/>
          <w:bCs/>
          <w:sz w:val="24"/>
          <w:szCs w:val="24"/>
        </w:rPr>
        <w:t>1.2需要改造的定值拧紧设备及定量加注设备清单及厂家品牌如下：</w:t>
      </w:r>
    </w:p>
    <w:tbl>
      <w:tblPr>
        <w:tblStyle w:val="77"/>
        <w:tblW w:w="9414" w:type="dxa"/>
        <w:jc w:val="center"/>
        <w:tblLayout w:type="fixed"/>
        <w:tblCellMar>
          <w:top w:w="0" w:type="dxa"/>
          <w:left w:w="108" w:type="dxa"/>
          <w:bottom w:w="0" w:type="dxa"/>
          <w:right w:w="108" w:type="dxa"/>
        </w:tblCellMar>
      </w:tblPr>
      <w:tblGrid>
        <w:gridCol w:w="771"/>
        <w:gridCol w:w="6126"/>
        <w:gridCol w:w="1663"/>
        <w:gridCol w:w="854"/>
      </w:tblGrid>
      <w:tr>
        <w:tblPrEx>
          <w:tblCellMar>
            <w:top w:w="0" w:type="dxa"/>
            <w:left w:w="108" w:type="dxa"/>
            <w:bottom w:w="0" w:type="dxa"/>
            <w:right w:w="108" w:type="dxa"/>
          </w:tblCellMar>
        </w:tblPrEx>
        <w:trPr>
          <w:trHeight w:val="90" w:hRule="atLeast"/>
          <w:jc w:val="center"/>
        </w:trPr>
        <w:tc>
          <w:tcPr>
            <w:tcW w:w="94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定扭设备改造清单</w:t>
            </w:r>
          </w:p>
        </w:tc>
      </w:tr>
      <w:tr>
        <w:tblPrEx>
          <w:tblCellMar>
            <w:top w:w="0" w:type="dxa"/>
            <w:left w:w="108" w:type="dxa"/>
            <w:bottom w:w="0" w:type="dxa"/>
            <w:right w:w="108" w:type="dxa"/>
          </w:tblCellMar>
        </w:tblPrEx>
        <w:trPr>
          <w:trHeight w:val="90"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工具名称</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设备厂家</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前桥骑马螺栓拧紧机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大连康展</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前桥骑马螺栓拧紧机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湖北天华</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后桥骑马螺栓拧紧机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山东春龙</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轮胎螺母拧紧机（五轴）</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山东春龙</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CellMar>
            <w:top w:w="0" w:type="dxa"/>
            <w:left w:w="108" w:type="dxa"/>
            <w:bottom w:w="0" w:type="dxa"/>
            <w:right w:w="108" w:type="dxa"/>
          </w:tblCellMar>
        </w:tblPrEx>
        <w:trPr>
          <w:trHeight w:val="90"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轮胎螺母拧紧机（四轴）</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大连康展</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CellMar>
            <w:top w:w="0" w:type="dxa"/>
            <w:left w:w="108" w:type="dxa"/>
            <w:bottom w:w="0" w:type="dxa"/>
            <w:right w:w="108" w:type="dxa"/>
          </w:tblCellMar>
        </w:tblPrEx>
        <w:trPr>
          <w:trHeight w:val="90"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CellMar>
            <w:top w:w="0" w:type="dxa"/>
            <w:left w:w="108" w:type="dxa"/>
            <w:bottom w:w="0" w:type="dxa"/>
            <w:right w:w="108" w:type="dxa"/>
          </w:tblCellMar>
        </w:tblPrEx>
        <w:trPr>
          <w:trHeight w:val="90" w:hRule="atLeast"/>
          <w:jc w:val="center"/>
        </w:trPr>
        <w:tc>
          <w:tcPr>
            <w:tcW w:w="94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定量加注设备改造清单</w:t>
            </w:r>
          </w:p>
        </w:tc>
      </w:tr>
      <w:tr>
        <w:tblPrEx>
          <w:tblCellMar>
            <w:top w:w="0" w:type="dxa"/>
            <w:left w:w="108" w:type="dxa"/>
            <w:bottom w:w="0" w:type="dxa"/>
            <w:right w:w="108" w:type="dxa"/>
          </w:tblCellMar>
        </w:tblPrEx>
        <w:trPr>
          <w:trHeight w:val="90"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工具名称</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设备厂家</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转向液压油真空加注机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济南天健</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国四发动机油定量加注机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济南天健</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发动机油定量加注机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济南天健</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变速箱油加注机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济南天健</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驱动桥定量加注机1</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济南天健</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驱动桥定量加注机2</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济南天健</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柴油加注机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济南天健</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冷媒真空加注机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济南天健</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尿素加注机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济南天健</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8" w:hRule="atLeast"/>
          <w:jc w:val="center"/>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6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制动液加注机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济南天健</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90"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bl>
    <w:p>
      <w:pPr>
        <w:rPr>
          <w:b/>
          <w:sz w:val="24"/>
          <w:szCs w:val="24"/>
        </w:rPr>
      </w:pPr>
    </w:p>
    <w:p>
      <w:pPr>
        <w:spacing w:line="440" w:lineRule="exact"/>
        <w:ind w:firstLine="482" w:firstLineChars="200"/>
        <w:rPr>
          <w:rFonts w:cs="宋体"/>
          <w:sz w:val="24"/>
          <w:szCs w:val="24"/>
        </w:rPr>
      </w:pPr>
      <w:r>
        <w:rPr>
          <w:rFonts w:hint="eastAsia" w:cs="宋体"/>
          <w:b/>
          <w:bCs/>
          <w:sz w:val="24"/>
          <w:szCs w:val="24"/>
        </w:rPr>
        <w:t>2.设备改造主要实现功能及改造产品资质：</w:t>
      </w:r>
    </w:p>
    <w:p>
      <w:pPr>
        <w:spacing w:line="440" w:lineRule="exact"/>
        <w:ind w:firstLine="480" w:firstLineChars="200"/>
        <w:rPr>
          <w:rFonts w:cs="宋体"/>
          <w:sz w:val="24"/>
          <w:szCs w:val="24"/>
        </w:rPr>
      </w:pPr>
      <w:r>
        <w:rPr>
          <w:rFonts w:hint="eastAsia" w:cs="宋体"/>
          <w:sz w:val="24"/>
          <w:szCs w:val="24"/>
        </w:rPr>
        <w:t>2.1具备便携式图像扫描功能，能准确快速识别一维码和二维码。载体为纸质。</w:t>
      </w:r>
    </w:p>
    <w:p>
      <w:pPr>
        <w:spacing w:line="440" w:lineRule="exact"/>
        <w:ind w:firstLine="480" w:firstLineChars="200"/>
        <w:rPr>
          <w:rFonts w:cs="宋体"/>
          <w:sz w:val="24"/>
          <w:szCs w:val="24"/>
        </w:rPr>
      </w:pPr>
      <w:r>
        <w:rPr>
          <w:rFonts w:hint="eastAsia" w:cs="宋体"/>
          <w:sz w:val="24"/>
          <w:szCs w:val="24"/>
        </w:rPr>
        <w:t>2.2具备设备工作参数存储功能，能通过网络及便携式存储设备导入工作标准值。</w:t>
      </w:r>
    </w:p>
    <w:p>
      <w:pPr>
        <w:spacing w:line="440" w:lineRule="exact"/>
        <w:ind w:firstLine="480" w:firstLineChars="200"/>
        <w:rPr>
          <w:rFonts w:cs="宋体"/>
          <w:sz w:val="24"/>
          <w:szCs w:val="24"/>
        </w:rPr>
      </w:pPr>
      <w:r>
        <w:rPr>
          <w:rFonts w:hint="eastAsia" w:cs="宋体"/>
          <w:sz w:val="24"/>
          <w:szCs w:val="24"/>
        </w:rPr>
        <w:t>2.3具备设备拧紧力矩值与标准值对比分析功能，并对异常进行报警。</w:t>
      </w:r>
    </w:p>
    <w:p>
      <w:pPr>
        <w:spacing w:line="440" w:lineRule="exact"/>
        <w:ind w:firstLine="480" w:firstLineChars="200"/>
        <w:rPr>
          <w:rFonts w:cs="宋体"/>
          <w:sz w:val="24"/>
          <w:szCs w:val="24"/>
        </w:rPr>
      </w:pPr>
      <w:r>
        <w:rPr>
          <w:rFonts w:hint="eastAsia" w:cs="宋体"/>
          <w:sz w:val="24"/>
          <w:szCs w:val="24"/>
        </w:rPr>
        <w:t>2.4具备设备工作参数与扫描的车辆信息绑定功能，便于后期对数据进行分析、追溯。</w:t>
      </w:r>
    </w:p>
    <w:p>
      <w:pPr>
        <w:spacing w:line="440" w:lineRule="exact"/>
        <w:ind w:firstLine="480" w:firstLineChars="200"/>
        <w:rPr>
          <w:rFonts w:cs="宋体"/>
          <w:sz w:val="24"/>
          <w:szCs w:val="24"/>
        </w:rPr>
      </w:pPr>
      <w:r>
        <w:rPr>
          <w:rFonts w:hint="eastAsia" w:cs="宋体"/>
          <w:sz w:val="24"/>
          <w:szCs w:val="24"/>
        </w:rPr>
        <w:t>2.5设备工作参数存储量应大于20万台车辆信息。</w:t>
      </w:r>
    </w:p>
    <w:p>
      <w:pPr>
        <w:spacing w:line="440" w:lineRule="exact"/>
        <w:ind w:firstLine="480" w:firstLineChars="200"/>
        <w:rPr>
          <w:rFonts w:cs="宋体"/>
          <w:sz w:val="24"/>
          <w:szCs w:val="24"/>
        </w:rPr>
      </w:pPr>
      <w:r>
        <w:rPr>
          <w:rFonts w:hint="eastAsia" w:cs="宋体"/>
          <w:sz w:val="24"/>
          <w:szCs w:val="24"/>
        </w:rPr>
        <w:t>2.6具备定值拧紧设备数据和定量加注设备的远程读取、分析系统，可实现在工作岗位上查看各个设备的运行情况。</w:t>
      </w:r>
    </w:p>
    <w:p>
      <w:pPr>
        <w:spacing w:line="440" w:lineRule="exact"/>
        <w:ind w:firstLine="480" w:firstLineChars="200"/>
        <w:rPr>
          <w:rFonts w:cs="宋体"/>
          <w:sz w:val="24"/>
          <w:szCs w:val="24"/>
        </w:rPr>
      </w:pPr>
      <w:r>
        <w:rPr>
          <w:rFonts w:hint="eastAsia" w:cs="宋体"/>
          <w:sz w:val="24"/>
          <w:szCs w:val="24"/>
        </w:rPr>
        <w:t>2.7具备根据扫码情况，自动设置设备工作参数及档位。</w:t>
      </w:r>
    </w:p>
    <w:p>
      <w:pPr>
        <w:spacing w:line="440" w:lineRule="exact"/>
        <w:ind w:firstLine="480" w:firstLineChars="200"/>
        <w:rPr>
          <w:rFonts w:cs="宋体"/>
          <w:sz w:val="24"/>
          <w:szCs w:val="24"/>
        </w:rPr>
      </w:pPr>
      <w:r>
        <w:rPr>
          <w:rFonts w:hint="eastAsia" w:cs="宋体"/>
          <w:sz w:val="24"/>
          <w:szCs w:val="24"/>
        </w:rPr>
        <w:t>2.8 设备改造后具备物联网功能。TDD/FDD双4G高速联网，I/O监控功能，可开启数采功能，便于远程控制。支持PPPOE、4G/3G等多种网络接入方式。</w:t>
      </w:r>
    </w:p>
    <w:p>
      <w:pPr>
        <w:spacing w:line="440" w:lineRule="exact"/>
        <w:ind w:firstLine="480" w:firstLineChars="200"/>
        <w:rPr>
          <w:rFonts w:cs="宋体"/>
          <w:sz w:val="24"/>
          <w:szCs w:val="24"/>
        </w:rPr>
      </w:pPr>
      <w:r>
        <w:rPr>
          <w:rFonts w:hint="eastAsia" w:cs="宋体"/>
          <w:sz w:val="24"/>
          <w:szCs w:val="24"/>
        </w:rPr>
        <w:t>2.9所有元器件选型100%满足工业级设计标准，超强的防潮、防雷、防电磁干扰能力。</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3.海西设备数据分析系统实现功能</w:t>
      </w:r>
    </w:p>
    <w:p>
      <w:pPr>
        <w:spacing w:line="440" w:lineRule="exact"/>
        <w:ind w:firstLine="480" w:firstLineChars="200"/>
        <w:rPr>
          <w:rFonts w:cs="宋体"/>
          <w:sz w:val="24"/>
          <w:szCs w:val="24"/>
        </w:rPr>
      </w:pPr>
      <w:r>
        <w:rPr>
          <w:rFonts w:hint="eastAsia" w:cs="宋体"/>
          <w:sz w:val="24"/>
          <w:szCs w:val="24"/>
        </w:rPr>
        <w:t>3.1实现对10台加注机、10台拧紧机设备工作参数的收集、分析、数据导出。</w:t>
      </w:r>
    </w:p>
    <w:p>
      <w:pPr>
        <w:spacing w:line="440" w:lineRule="exact"/>
        <w:ind w:firstLine="480" w:firstLineChars="200"/>
        <w:rPr>
          <w:rFonts w:cs="宋体"/>
          <w:sz w:val="24"/>
          <w:szCs w:val="24"/>
        </w:rPr>
      </w:pPr>
      <w:r>
        <w:rPr>
          <w:rFonts w:hint="eastAsia" w:cs="宋体"/>
          <w:sz w:val="24"/>
          <w:szCs w:val="24"/>
        </w:rPr>
        <w:t>3.2系统具备后期重汽海西新增350个设备点位工作数据的收集、分析。</w:t>
      </w:r>
    </w:p>
    <w:p>
      <w:pPr>
        <w:spacing w:line="440" w:lineRule="exact"/>
        <w:ind w:firstLine="480" w:firstLineChars="200"/>
        <w:rPr>
          <w:rFonts w:cs="宋体"/>
          <w:sz w:val="24"/>
          <w:szCs w:val="24"/>
        </w:rPr>
      </w:pPr>
      <w:r>
        <w:rPr>
          <w:rFonts w:hint="eastAsia" w:cs="宋体"/>
          <w:sz w:val="24"/>
          <w:szCs w:val="24"/>
        </w:rPr>
        <w:t>3.3系统具备设备运行的日分析报表、月度分析报表功能。</w:t>
      </w:r>
    </w:p>
    <w:p>
      <w:pPr>
        <w:spacing w:line="440" w:lineRule="exact"/>
        <w:ind w:firstLine="480" w:firstLineChars="200"/>
        <w:rPr>
          <w:rFonts w:cs="宋体"/>
          <w:sz w:val="24"/>
          <w:szCs w:val="24"/>
        </w:rPr>
      </w:pPr>
      <w:r>
        <w:rPr>
          <w:rFonts w:hint="eastAsia" w:cs="宋体"/>
          <w:sz w:val="24"/>
          <w:szCs w:val="24"/>
        </w:rPr>
        <w:t>3.4系统具备可视化展示界面。系统内容包括设备管理、告警管理、日志管理等。</w:t>
      </w:r>
    </w:p>
    <w:p>
      <w:pPr>
        <w:spacing w:line="440" w:lineRule="exact"/>
        <w:ind w:firstLine="480" w:firstLineChars="200"/>
        <w:rPr>
          <w:rFonts w:cs="宋体"/>
          <w:sz w:val="24"/>
          <w:szCs w:val="24"/>
        </w:rPr>
      </w:pPr>
      <w:r>
        <w:rPr>
          <w:rFonts w:hint="eastAsia" w:cs="宋体"/>
          <w:sz w:val="24"/>
          <w:szCs w:val="24"/>
        </w:rPr>
        <w:t>3.5系统具备后期能将重汽海西所连接的设备数据信息发送到中国重汽集团IOT平台上，保持信息实时更新。</w:t>
      </w:r>
    </w:p>
    <w:p>
      <w:pPr>
        <w:spacing w:line="440" w:lineRule="exact"/>
        <w:ind w:firstLine="480" w:firstLineChars="200"/>
        <w:rPr>
          <w:rFonts w:cs="宋体"/>
          <w:sz w:val="24"/>
          <w:szCs w:val="24"/>
        </w:rPr>
      </w:pPr>
      <w:r>
        <w:rPr>
          <w:rFonts w:hint="eastAsia" w:cs="宋体"/>
          <w:sz w:val="24"/>
          <w:szCs w:val="24"/>
        </w:rPr>
        <w:t>3.6所有数据存储在海西公司内部服务器上。</w:t>
      </w:r>
    </w:p>
    <w:p>
      <w:pPr>
        <w:pStyle w:val="31"/>
        <w:spacing w:line="440" w:lineRule="exact"/>
        <w:ind w:firstLine="480" w:firstLineChars="200"/>
        <w:rPr>
          <w:rFonts w:cs="宋体"/>
          <w:sz w:val="24"/>
          <w:szCs w:val="24"/>
        </w:rPr>
      </w:pPr>
      <w:r>
        <w:rPr>
          <w:rFonts w:hint="eastAsia" w:cs="宋体"/>
          <w:sz w:val="24"/>
          <w:szCs w:val="24"/>
        </w:rPr>
        <w:t>3.7为满足专网接入安全需要，投标方需提供不低于如下配置的路由器及相应的性能佐证材料：</w:t>
      </w:r>
    </w:p>
    <w:p>
      <w:pPr>
        <w:spacing w:line="440" w:lineRule="exact"/>
        <w:ind w:firstLine="480" w:firstLineChars="200"/>
        <w:rPr>
          <w:rFonts w:cs="宋体"/>
          <w:sz w:val="24"/>
          <w:szCs w:val="24"/>
        </w:rPr>
      </w:pPr>
      <w:r>
        <w:rPr>
          <w:rFonts w:hint="eastAsia" w:cs="宋体"/>
          <w:sz w:val="24"/>
          <w:szCs w:val="24"/>
        </w:rPr>
        <w:t>3</w:t>
      </w:r>
      <w:r>
        <w:rPr>
          <w:rFonts w:cs="宋体"/>
          <w:sz w:val="24"/>
          <w:szCs w:val="24"/>
        </w:rPr>
        <w:t>.7.1整机高度≤3U，采用高性能多核处理器支持高速WAN连接，强大的路由计算能力，增强L4~L7业务处理效率；</w:t>
      </w:r>
    </w:p>
    <w:p>
      <w:pPr>
        <w:spacing w:line="440" w:lineRule="exact"/>
        <w:ind w:firstLine="480" w:firstLineChars="200"/>
        <w:rPr>
          <w:rFonts w:cs="宋体"/>
          <w:sz w:val="24"/>
          <w:szCs w:val="24"/>
        </w:rPr>
      </w:pPr>
      <w:r>
        <w:rPr>
          <w:rFonts w:cs="宋体"/>
          <w:sz w:val="24"/>
          <w:szCs w:val="24"/>
        </w:rPr>
        <w:t>3.7.2采用自研全自主化CPU及转发芯片，要求提供权威第三方测试报告；</w:t>
      </w:r>
    </w:p>
    <w:p>
      <w:pPr>
        <w:spacing w:line="440" w:lineRule="exact"/>
        <w:ind w:firstLine="480" w:firstLineChars="200"/>
        <w:rPr>
          <w:rFonts w:cs="宋体"/>
          <w:sz w:val="24"/>
          <w:szCs w:val="24"/>
        </w:rPr>
      </w:pPr>
      <w:r>
        <w:rPr>
          <w:rFonts w:cs="宋体"/>
          <w:sz w:val="24"/>
          <w:szCs w:val="24"/>
        </w:rPr>
        <w:t>3.7.3交换容量≥640Gbps，包转发能力≥60Mpps，最大支持280Mpps；</w:t>
      </w:r>
    </w:p>
    <w:p>
      <w:pPr>
        <w:spacing w:line="440" w:lineRule="exact"/>
        <w:ind w:firstLine="480" w:firstLineChars="200"/>
        <w:rPr>
          <w:rFonts w:cs="宋体"/>
          <w:sz w:val="24"/>
          <w:szCs w:val="24"/>
        </w:rPr>
      </w:pPr>
      <w:r>
        <w:rPr>
          <w:rFonts w:cs="宋体"/>
          <w:sz w:val="24"/>
          <w:szCs w:val="24"/>
        </w:rPr>
        <w:t>3.7.4支持双主控引擎，双转发平面，控制和转发1：1冗余备份；</w:t>
      </w:r>
    </w:p>
    <w:p>
      <w:pPr>
        <w:spacing w:line="440" w:lineRule="exact"/>
        <w:ind w:firstLine="480" w:firstLineChars="200"/>
        <w:rPr>
          <w:rFonts w:cs="宋体"/>
          <w:sz w:val="24"/>
          <w:szCs w:val="24"/>
        </w:rPr>
      </w:pPr>
      <w:r>
        <w:rPr>
          <w:rFonts w:cs="宋体"/>
          <w:sz w:val="24"/>
          <w:szCs w:val="24"/>
        </w:rPr>
        <w:t>3.7.5高密接口，固定WAN端口：10GE光≥14个（可切换为GE光）， GE电口≥10个，所有WAN口可切换为LAN；模块化插槽≥10个（主控、风扇、电源、其他扣卡等槽位不及入业务槽位之内），电源，风扇，板卡高可靠支持热插拔，不需要配置命令，板卡热插拔功能；</w:t>
      </w:r>
    </w:p>
    <w:p>
      <w:pPr>
        <w:spacing w:line="440" w:lineRule="exact"/>
        <w:ind w:firstLine="480" w:firstLineChars="200"/>
        <w:rPr>
          <w:rFonts w:cs="宋体"/>
          <w:sz w:val="24"/>
          <w:szCs w:val="24"/>
        </w:rPr>
      </w:pPr>
      <w:r>
        <w:rPr>
          <w:rFonts w:cs="宋体"/>
          <w:sz w:val="24"/>
          <w:szCs w:val="24"/>
        </w:rPr>
        <w:t>3.7.6支持GE、10GE、155M POS/CPOS、EPON/GPON、同异步串口、E1、T1、3G、LTE等接口；</w:t>
      </w:r>
    </w:p>
    <w:p>
      <w:pPr>
        <w:spacing w:line="440" w:lineRule="exact"/>
        <w:ind w:firstLine="480" w:firstLineChars="200"/>
        <w:rPr>
          <w:rFonts w:cs="宋体"/>
          <w:sz w:val="24"/>
          <w:szCs w:val="24"/>
        </w:rPr>
      </w:pPr>
      <w:r>
        <w:rPr>
          <w:rFonts w:cs="宋体"/>
          <w:sz w:val="24"/>
          <w:szCs w:val="24"/>
        </w:rPr>
        <w:t>3.7.7支持MAC、802.1x、Portal认证、广播抑制、ARP安全等，支持本地认证、AAA认证、RADIUS认证；</w:t>
      </w:r>
    </w:p>
    <w:p>
      <w:pPr>
        <w:spacing w:line="440" w:lineRule="exact"/>
        <w:ind w:firstLine="480" w:firstLineChars="200"/>
        <w:rPr>
          <w:rFonts w:cs="宋体"/>
          <w:sz w:val="24"/>
          <w:szCs w:val="24"/>
        </w:rPr>
      </w:pPr>
      <w:r>
        <w:rPr>
          <w:rFonts w:cs="宋体"/>
          <w:sz w:val="24"/>
          <w:szCs w:val="24"/>
        </w:rPr>
        <w:t>3.7.8支持静态路由，策略路由，支持RIP、RIPng、OSPF、OSPFv3、BGP、BGP4+、IS-IS、IS-ISv6等动态路由协议；</w:t>
      </w:r>
    </w:p>
    <w:p>
      <w:pPr>
        <w:spacing w:line="440" w:lineRule="exact"/>
        <w:ind w:firstLine="480" w:firstLineChars="200"/>
        <w:rPr>
          <w:rFonts w:cs="宋体"/>
          <w:sz w:val="24"/>
          <w:szCs w:val="24"/>
        </w:rPr>
      </w:pPr>
      <w:r>
        <w:rPr>
          <w:rFonts w:cs="宋体"/>
          <w:sz w:val="24"/>
          <w:szCs w:val="24"/>
        </w:rPr>
        <w:t>3.7.9支持国密算法，SAC应用阻断，URL过滤，防火墙功能，要求提供权威第三方测试报告；</w:t>
      </w:r>
    </w:p>
    <w:p>
      <w:pPr>
        <w:spacing w:line="440" w:lineRule="exact"/>
        <w:ind w:firstLine="480" w:firstLineChars="200"/>
        <w:rPr>
          <w:rFonts w:cs="宋体"/>
          <w:sz w:val="24"/>
          <w:szCs w:val="24"/>
        </w:rPr>
      </w:pPr>
      <w:r>
        <w:rPr>
          <w:rFonts w:cs="宋体"/>
          <w:sz w:val="24"/>
          <w:szCs w:val="24"/>
        </w:rPr>
        <w:t>3.7.10配置要求：双主控板、双电源，10GE光≥14个（可切换为GE光）， GE电口≥10个，提供三年原厂维保服务。</w:t>
      </w:r>
    </w:p>
    <w:p>
      <w:pPr>
        <w:pStyle w:val="2"/>
        <w:rPr>
          <w:rFonts w:hint="eastAsia"/>
        </w:rPr>
      </w:pPr>
      <w:r>
        <w:rPr>
          <w:rFonts w:hint="eastAsia" w:cs="宋体"/>
          <w:sz w:val="24"/>
          <w:szCs w:val="24"/>
        </w:rPr>
        <w:t>3</w:t>
      </w:r>
      <w:r>
        <w:rPr>
          <w:rFonts w:cs="宋体"/>
          <w:sz w:val="24"/>
          <w:szCs w:val="24"/>
        </w:rPr>
        <w:t>.7.11</w:t>
      </w:r>
      <w:r>
        <w:rPr>
          <w:rFonts w:hint="eastAsia" w:cs="宋体"/>
          <w:sz w:val="24"/>
          <w:szCs w:val="24"/>
        </w:rPr>
        <w:t>内部数据服务器及安全服务由招标方保障提供。</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4.项目设计标准</w:t>
      </w:r>
    </w:p>
    <w:p>
      <w:pPr>
        <w:spacing w:line="440" w:lineRule="exact"/>
        <w:ind w:firstLine="480" w:firstLineChars="200"/>
        <w:rPr>
          <w:rFonts w:cs="宋体"/>
          <w:sz w:val="24"/>
          <w:szCs w:val="24"/>
        </w:rPr>
      </w:pPr>
      <w:bookmarkStart w:id="153" w:name="_Toc17390403"/>
      <w:r>
        <w:rPr>
          <w:rFonts w:hint="eastAsia" w:cs="宋体"/>
          <w:sz w:val="24"/>
          <w:szCs w:val="24"/>
        </w:rPr>
        <w:t>4.1安全标准：安全要求遵守安全健康设计标准的规定</w:t>
      </w:r>
      <w:bookmarkEnd w:id="153"/>
      <w:r>
        <w:rPr>
          <w:rFonts w:hint="eastAsia" w:cs="宋体"/>
          <w:sz w:val="24"/>
          <w:szCs w:val="24"/>
        </w:rPr>
        <w:t>。</w:t>
      </w:r>
    </w:p>
    <w:p>
      <w:pPr>
        <w:spacing w:line="440" w:lineRule="exact"/>
        <w:ind w:firstLine="480" w:firstLineChars="200"/>
        <w:rPr>
          <w:rFonts w:cs="宋体"/>
          <w:sz w:val="24"/>
          <w:szCs w:val="24"/>
        </w:rPr>
      </w:pPr>
      <w:bookmarkStart w:id="154" w:name="_Toc17390405"/>
      <w:r>
        <w:rPr>
          <w:rFonts w:hint="eastAsia" w:cs="宋体"/>
          <w:sz w:val="24"/>
          <w:szCs w:val="24"/>
        </w:rPr>
        <w:t>4.2气动工具、仪器仪表等设备的特殊要求</w:t>
      </w:r>
      <w:bookmarkEnd w:id="154"/>
      <w:r>
        <w:rPr>
          <w:rFonts w:hint="eastAsia" w:cs="宋体"/>
          <w:sz w:val="24"/>
          <w:szCs w:val="24"/>
        </w:rPr>
        <w:t>。</w:t>
      </w:r>
    </w:p>
    <w:p>
      <w:pPr>
        <w:spacing w:line="440" w:lineRule="exact"/>
        <w:ind w:firstLine="480" w:firstLineChars="200"/>
        <w:rPr>
          <w:rFonts w:cs="宋体"/>
          <w:sz w:val="24"/>
          <w:szCs w:val="24"/>
        </w:rPr>
      </w:pPr>
      <w:r>
        <w:rPr>
          <w:rFonts w:hint="eastAsia" w:cs="宋体"/>
          <w:sz w:val="24"/>
          <w:szCs w:val="24"/>
        </w:rPr>
        <w:t>4.3设备设施颜色按照招标方要求执行.</w:t>
      </w:r>
    </w:p>
    <w:p>
      <w:pPr>
        <w:spacing w:line="440" w:lineRule="exact"/>
        <w:ind w:firstLine="480" w:firstLineChars="200"/>
        <w:rPr>
          <w:rFonts w:cs="宋体"/>
          <w:sz w:val="24"/>
          <w:szCs w:val="24"/>
        </w:rPr>
      </w:pPr>
      <w:bookmarkStart w:id="155" w:name="_Toc17390406"/>
      <w:r>
        <w:rPr>
          <w:rFonts w:hint="eastAsia" w:cs="宋体"/>
          <w:sz w:val="24"/>
          <w:szCs w:val="24"/>
        </w:rPr>
        <w:t>4.4其它</w:t>
      </w:r>
      <w:bookmarkEnd w:id="155"/>
      <w:r>
        <w:rPr>
          <w:rFonts w:hint="eastAsia" w:cs="宋体"/>
          <w:sz w:val="24"/>
          <w:szCs w:val="24"/>
        </w:rPr>
        <w:t>其余技术条件和质量保证均按供方企业技术标准执行；</w:t>
      </w:r>
    </w:p>
    <w:p>
      <w:pPr>
        <w:spacing w:line="440" w:lineRule="exact"/>
        <w:ind w:firstLine="480" w:firstLineChars="200"/>
        <w:rPr>
          <w:rFonts w:cs="宋体"/>
          <w:sz w:val="24"/>
          <w:szCs w:val="24"/>
        </w:rPr>
      </w:pPr>
      <w:r>
        <w:rPr>
          <w:rFonts w:hint="eastAsia" w:cs="宋体"/>
          <w:sz w:val="24"/>
          <w:szCs w:val="24"/>
        </w:rPr>
        <w:t>如招标方有特殊技术要求，按招标方要求制造，其余部分按供方企业标准执行；</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5.跟踪陪产要求</w:t>
      </w:r>
    </w:p>
    <w:p>
      <w:pPr>
        <w:spacing w:line="440" w:lineRule="exact"/>
        <w:ind w:firstLine="480" w:firstLineChars="200"/>
        <w:rPr>
          <w:rFonts w:cs="宋体"/>
          <w:sz w:val="24"/>
          <w:szCs w:val="24"/>
        </w:rPr>
      </w:pPr>
      <w:r>
        <w:rPr>
          <w:rFonts w:hint="eastAsia" w:cs="宋体"/>
          <w:sz w:val="24"/>
          <w:szCs w:val="24"/>
        </w:rPr>
        <w:t>设备投入完毕，需安排相关专业人员跟进1个月的生产验证，生产验证时间安排由招标方决定，出现问题能随时响应，并能立刻解决。</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6.图纸要求</w:t>
      </w:r>
    </w:p>
    <w:p>
      <w:pPr>
        <w:spacing w:line="440" w:lineRule="exact"/>
        <w:ind w:firstLine="480" w:firstLineChars="200"/>
        <w:rPr>
          <w:rFonts w:cs="宋体"/>
          <w:sz w:val="24"/>
          <w:szCs w:val="24"/>
        </w:rPr>
      </w:pPr>
      <w:bookmarkStart w:id="156" w:name="_Toc17390431"/>
      <w:r>
        <w:rPr>
          <w:rFonts w:hint="eastAsia" w:cs="宋体"/>
          <w:sz w:val="24"/>
          <w:szCs w:val="24"/>
        </w:rPr>
        <w:t>6.1设计图纸规范性要求</w:t>
      </w:r>
      <w:bookmarkEnd w:id="156"/>
    </w:p>
    <w:p>
      <w:pPr>
        <w:spacing w:line="440" w:lineRule="exact"/>
        <w:ind w:firstLine="480" w:firstLineChars="200"/>
        <w:rPr>
          <w:rFonts w:cs="宋体"/>
          <w:sz w:val="24"/>
          <w:szCs w:val="24"/>
        </w:rPr>
      </w:pPr>
      <w:r>
        <w:rPr>
          <w:rFonts w:hint="eastAsia" w:cs="宋体"/>
          <w:sz w:val="24"/>
          <w:szCs w:val="24"/>
        </w:rPr>
        <w:t>6.1.1 按双方确定的技术方案和要求进行设计。</w:t>
      </w:r>
    </w:p>
    <w:p>
      <w:pPr>
        <w:spacing w:line="440" w:lineRule="exact"/>
        <w:ind w:firstLine="480" w:firstLineChars="200"/>
        <w:rPr>
          <w:rFonts w:cs="宋体"/>
          <w:sz w:val="24"/>
          <w:szCs w:val="24"/>
        </w:rPr>
      </w:pPr>
      <w:r>
        <w:rPr>
          <w:rFonts w:hint="eastAsia" w:cs="宋体"/>
          <w:sz w:val="24"/>
          <w:szCs w:val="24"/>
        </w:rPr>
        <w:t>尽量考虑选用标准件、尽可能统一品牌、型号。</w:t>
      </w:r>
    </w:p>
    <w:p>
      <w:pPr>
        <w:spacing w:line="440" w:lineRule="exact"/>
        <w:ind w:firstLine="480" w:firstLineChars="200"/>
        <w:rPr>
          <w:rFonts w:cs="宋体"/>
          <w:sz w:val="24"/>
          <w:szCs w:val="24"/>
        </w:rPr>
      </w:pPr>
      <w:r>
        <w:rPr>
          <w:rFonts w:hint="eastAsia" w:cs="宋体"/>
          <w:sz w:val="24"/>
          <w:szCs w:val="24"/>
        </w:rPr>
        <w:t>提供操作使用和维护说明书应完整齐全，用中文表示。</w:t>
      </w:r>
    </w:p>
    <w:p>
      <w:pPr>
        <w:spacing w:line="440" w:lineRule="exact"/>
        <w:ind w:firstLine="480" w:firstLineChars="200"/>
        <w:rPr>
          <w:rFonts w:cs="宋体"/>
          <w:sz w:val="24"/>
          <w:szCs w:val="24"/>
        </w:rPr>
      </w:pPr>
      <w:r>
        <w:rPr>
          <w:rFonts w:hint="eastAsia" w:cs="宋体"/>
          <w:sz w:val="24"/>
          <w:szCs w:val="24"/>
        </w:rPr>
        <w:t>说明书提供各种易损件清单；标明名称、规格、数量，以及投标方情况，并附相关说明资料。</w:t>
      </w:r>
    </w:p>
    <w:p>
      <w:pPr>
        <w:spacing w:line="440" w:lineRule="exact"/>
        <w:ind w:firstLine="480" w:firstLineChars="200"/>
        <w:rPr>
          <w:rFonts w:cs="宋体"/>
          <w:sz w:val="24"/>
          <w:szCs w:val="24"/>
        </w:rPr>
      </w:pPr>
      <w:r>
        <w:rPr>
          <w:rFonts w:hint="eastAsia" w:cs="宋体"/>
          <w:sz w:val="24"/>
          <w:szCs w:val="24"/>
        </w:rPr>
        <w:t>说明书表明日常维护的要点，如需要的润滑点、润滑材料及其操作方法等。</w:t>
      </w:r>
    </w:p>
    <w:p>
      <w:pPr>
        <w:spacing w:line="440" w:lineRule="exact"/>
        <w:ind w:firstLine="480" w:firstLineChars="200"/>
        <w:rPr>
          <w:rFonts w:cs="宋体"/>
          <w:sz w:val="24"/>
          <w:szCs w:val="24"/>
        </w:rPr>
      </w:pPr>
      <w:r>
        <w:rPr>
          <w:rFonts w:hint="eastAsia" w:cs="宋体"/>
          <w:sz w:val="24"/>
          <w:szCs w:val="24"/>
        </w:rPr>
        <w:t>表明维护、修理、大修的日期及提醒相应预防措施。</w:t>
      </w:r>
    </w:p>
    <w:p>
      <w:pPr>
        <w:spacing w:line="440" w:lineRule="exact"/>
        <w:ind w:firstLine="480" w:firstLineChars="200"/>
        <w:rPr>
          <w:rFonts w:cs="宋体"/>
          <w:sz w:val="24"/>
          <w:szCs w:val="24"/>
        </w:rPr>
      </w:pPr>
      <w:r>
        <w:rPr>
          <w:rFonts w:hint="eastAsia" w:cs="宋体"/>
          <w:sz w:val="24"/>
          <w:szCs w:val="24"/>
        </w:rPr>
        <w:t>6.1.2图纸体系</w:t>
      </w:r>
    </w:p>
    <w:p>
      <w:pPr>
        <w:spacing w:line="440" w:lineRule="exact"/>
        <w:ind w:firstLine="480" w:firstLineChars="200"/>
        <w:rPr>
          <w:rFonts w:cs="宋体"/>
          <w:sz w:val="24"/>
          <w:szCs w:val="24"/>
        </w:rPr>
      </w:pPr>
      <w:r>
        <w:rPr>
          <w:rFonts w:hint="eastAsia" w:cs="宋体"/>
          <w:sz w:val="24"/>
          <w:szCs w:val="24"/>
        </w:rPr>
        <w:t>6.1.2.1图纸构成及内容</w:t>
      </w:r>
    </w:p>
    <w:p>
      <w:pPr>
        <w:spacing w:line="440" w:lineRule="exact"/>
        <w:ind w:firstLine="480" w:firstLineChars="200"/>
        <w:rPr>
          <w:rFonts w:cs="宋体"/>
          <w:sz w:val="24"/>
          <w:szCs w:val="24"/>
        </w:rPr>
      </w:pPr>
      <w:r>
        <w:rPr>
          <w:rFonts w:hint="eastAsia" w:cs="宋体"/>
          <w:sz w:val="24"/>
          <w:szCs w:val="24"/>
        </w:rPr>
        <w:t>6.1.2.2目录</w:t>
      </w:r>
    </w:p>
    <w:p>
      <w:pPr>
        <w:spacing w:line="440" w:lineRule="exact"/>
        <w:ind w:firstLine="480" w:firstLineChars="200"/>
        <w:rPr>
          <w:rFonts w:cs="宋体"/>
          <w:sz w:val="24"/>
          <w:szCs w:val="24"/>
        </w:rPr>
      </w:pPr>
      <w:r>
        <w:rPr>
          <w:rFonts w:hint="eastAsia" w:cs="宋体"/>
          <w:sz w:val="24"/>
          <w:szCs w:val="24"/>
        </w:rPr>
        <w:t>机械基础图纸：</w:t>
      </w:r>
    </w:p>
    <w:p>
      <w:pPr>
        <w:spacing w:line="440" w:lineRule="exact"/>
        <w:ind w:firstLine="480" w:firstLineChars="200"/>
        <w:rPr>
          <w:rFonts w:cs="宋体"/>
          <w:sz w:val="24"/>
          <w:szCs w:val="24"/>
        </w:rPr>
      </w:pPr>
      <w:r>
        <w:rPr>
          <w:rFonts w:hint="eastAsia" w:cs="宋体"/>
          <w:sz w:val="24"/>
          <w:szCs w:val="24"/>
        </w:rPr>
        <w:t xml:space="preserve">公用设施布局图志； </w:t>
      </w:r>
    </w:p>
    <w:p>
      <w:pPr>
        <w:spacing w:line="440" w:lineRule="exact"/>
        <w:ind w:firstLine="480" w:firstLineChars="200"/>
        <w:rPr>
          <w:rFonts w:cs="宋体"/>
          <w:sz w:val="24"/>
          <w:szCs w:val="24"/>
        </w:rPr>
      </w:pPr>
      <w:r>
        <w:rPr>
          <w:rFonts w:hint="eastAsia" w:cs="宋体"/>
          <w:sz w:val="24"/>
          <w:szCs w:val="24"/>
        </w:rPr>
        <w:t>6.1.2.3电控图纸：</w:t>
      </w:r>
    </w:p>
    <w:p>
      <w:pPr>
        <w:spacing w:line="440" w:lineRule="exact"/>
        <w:ind w:firstLine="480" w:firstLineChars="200"/>
        <w:rPr>
          <w:rFonts w:cs="宋体"/>
          <w:sz w:val="24"/>
          <w:szCs w:val="24"/>
        </w:rPr>
      </w:pPr>
      <w:r>
        <w:rPr>
          <w:rFonts w:hint="eastAsia" w:cs="宋体"/>
          <w:sz w:val="24"/>
          <w:szCs w:val="24"/>
        </w:rPr>
        <w:t>6.1.2.4气动原理图、操作顺序图</w:t>
      </w:r>
    </w:p>
    <w:p>
      <w:pPr>
        <w:spacing w:line="440" w:lineRule="exact"/>
        <w:ind w:firstLine="480" w:firstLineChars="200"/>
        <w:rPr>
          <w:rFonts w:cs="宋体"/>
          <w:sz w:val="24"/>
          <w:szCs w:val="24"/>
        </w:rPr>
      </w:pPr>
      <w:r>
        <w:rPr>
          <w:rFonts w:hint="eastAsia" w:cs="宋体"/>
          <w:sz w:val="24"/>
          <w:szCs w:val="24"/>
        </w:rPr>
        <w:t>6.1.3图纸标识</w:t>
      </w:r>
    </w:p>
    <w:p>
      <w:pPr>
        <w:spacing w:line="440" w:lineRule="exact"/>
        <w:ind w:firstLine="480" w:firstLineChars="200"/>
        <w:rPr>
          <w:rFonts w:cs="宋体"/>
          <w:sz w:val="24"/>
          <w:szCs w:val="24"/>
        </w:rPr>
      </w:pPr>
      <w:r>
        <w:rPr>
          <w:rFonts w:hint="eastAsia" w:cs="宋体"/>
          <w:sz w:val="24"/>
          <w:szCs w:val="24"/>
        </w:rPr>
        <w:t>6.1.4图纸标准</w:t>
      </w:r>
    </w:p>
    <w:p>
      <w:pPr>
        <w:spacing w:line="440" w:lineRule="exact"/>
        <w:ind w:firstLine="480" w:firstLineChars="200"/>
        <w:rPr>
          <w:rFonts w:cs="宋体"/>
          <w:sz w:val="24"/>
          <w:szCs w:val="24"/>
        </w:rPr>
      </w:pPr>
      <w:r>
        <w:rPr>
          <w:rFonts w:hint="eastAsia" w:cs="宋体"/>
          <w:sz w:val="24"/>
          <w:szCs w:val="24"/>
        </w:rPr>
        <w:t>6.1.5图纸分类和编号</w:t>
      </w:r>
    </w:p>
    <w:p>
      <w:pPr>
        <w:spacing w:line="440" w:lineRule="exact"/>
        <w:ind w:firstLine="480" w:firstLineChars="200"/>
        <w:rPr>
          <w:rFonts w:cs="宋体"/>
          <w:sz w:val="24"/>
          <w:szCs w:val="24"/>
        </w:rPr>
      </w:pPr>
      <w:r>
        <w:rPr>
          <w:rFonts w:hint="eastAsia" w:cs="宋体"/>
          <w:sz w:val="24"/>
          <w:szCs w:val="24"/>
        </w:rPr>
        <w:t>6.1.6图纸仅做设计参考，具体施工需根据甲方现场需求进行更改。</w:t>
      </w:r>
    </w:p>
    <w:p>
      <w:pPr>
        <w:spacing w:line="440" w:lineRule="exact"/>
        <w:ind w:firstLine="480" w:firstLineChars="200"/>
        <w:rPr>
          <w:rFonts w:cs="宋体"/>
          <w:sz w:val="24"/>
          <w:szCs w:val="24"/>
        </w:rPr>
      </w:pPr>
      <w:r>
        <w:rPr>
          <w:rFonts w:hint="eastAsia" w:cs="宋体"/>
          <w:sz w:val="24"/>
          <w:szCs w:val="24"/>
        </w:rPr>
        <w:t>6.2投标方提供资料：设备维修相关资料、程序安装包及数据源等。</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7.验收</w:t>
      </w:r>
    </w:p>
    <w:p>
      <w:pPr>
        <w:spacing w:line="440" w:lineRule="exact"/>
        <w:ind w:firstLine="480" w:firstLineChars="200"/>
        <w:rPr>
          <w:rFonts w:cs="宋体"/>
          <w:sz w:val="24"/>
          <w:szCs w:val="24"/>
        </w:rPr>
      </w:pPr>
      <w:r>
        <w:rPr>
          <w:rFonts w:hint="eastAsia" w:cs="宋体"/>
          <w:sz w:val="24"/>
          <w:szCs w:val="24"/>
        </w:rPr>
        <w:t>7.1预验收</w:t>
      </w:r>
    </w:p>
    <w:p>
      <w:pPr>
        <w:spacing w:line="440" w:lineRule="exact"/>
        <w:ind w:firstLine="480" w:firstLineChars="200"/>
        <w:rPr>
          <w:rFonts w:cs="宋体"/>
          <w:sz w:val="24"/>
          <w:szCs w:val="24"/>
        </w:rPr>
      </w:pPr>
      <w:r>
        <w:rPr>
          <w:rFonts w:hint="eastAsia" w:cs="宋体"/>
          <w:sz w:val="24"/>
          <w:szCs w:val="24"/>
        </w:rPr>
        <w:t>7.1.1设备到达招标方现场，投标方现场安装、调试生产线运行合格。</w:t>
      </w:r>
    </w:p>
    <w:p>
      <w:pPr>
        <w:spacing w:line="440" w:lineRule="exact"/>
        <w:ind w:firstLine="480" w:firstLineChars="200"/>
        <w:rPr>
          <w:rFonts w:cs="宋体"/>
          <w:sz w:val="24"/>
          <w:szCs w:val="24"/>
        </w:rPr>
      </w:pPr>
      <w:r>
        <w:rPr>
          <w:rFonts w:hint="eastAsia" w:cs="宋体"/>
          <w:sz w:val="24"/>
          <w:szCs w:val="24"/>
        </w:rPr>
        <w:t>7.1.2生产节拍满足设计要求，各工位的节拍能达到平衡。</w:t>
      </w:r>
    </w:p>
    <w:p>
      <w:pPr>
        <w:spacing w:line="440" w:lineRule="exact"/>
        <w:ind w:firstLine="480" w:firstLineChars="200"/>
        <w:rPr>
          <w:rFonts w:cs="宋体"/>
          <w:sz w:val="24"/>
          <w:szCs w:val="24"/>
        </w:rPr>
      </w:pPr>
      <w:r>
        <w:rPr>
          <w:rFonts w:hint="eastAsia" w:cs="宋体"/>
          <w:sz w:val="24"/>
          <w:szCs w:val="24"/>
        </w:rPr>
        <w:t>7.1.3项目中的供货范围已经提供完毕、各项技术要求达到设计的要求、项目进度满足了招标方公司的要求。</w:t>
      </w:r>
    </w:p>
    <w:p>
      <w:pPr>
        <w:spacing w:line="440" w:lineRule="exact"/>
        <w:ind w:firstLine="480" w:firstLineChars="200"/>
        <w:rPr>
          <w:rFonts w:cs="宋体"/>
          <w:sz w:val="24"/>
          <w:szCs w:val="24"/>
        </w:rPr>
      </w:pPr>
      <w:r>
        <w:rPr>
          <w:rFonts w:hint="eastAsia" w:cs="宋体"/>
          <w:sz w:val="24"/>
          <w:szCs w:val="24"/>
        </w:rPr>
        <w:t>7.1.4招标方提出的问题点都得到最终解决，并对整改问题中所涉及的工装设计更改处做出相应的资料更新移交给招标方, 投标方整理完善调试过程中的所有记录、本协议所定资料内容进行相关整理更新提交给招标方。</w:t>
      </w:r>
    </w:p>
    <w:p>
      <w:pPr>
        <w:spacing w:line="440" w:lineRule="exact"/>
        <w:ind w:firstLine="480" w:firstLineChars="200"/>
        <w:rPr>
          <w:rFonts w:cs="宋体"/>
          <w:sz w:val="24"/>
          <w:szCs w:val="24"/>
        </w:rPr>
      </w:pPr>
      <w:r>
        <w:rPr>
          <w:rFonts w:hint="eastAsia" w:cs="宋体"/>
          <w:sz w:val="24"/>
          <w:szCs w:val="24"/>
        </w:rPr>
        <w:t>7.1.5设备的所有档案资料齐全。</w:t>
      </w:r>
    </w:p>
    <w:p>
      <w:pPr>
        <w:spacing w:line="440" w:lineRule="exact"/>
        <w:ind w:firstLine="480" w:firstLineChars="200"/>
        <w:rPr>
          <w:rFonts w:cs="宋体"/>
          <w:sz w:val="24"/>
          <w:szCs w:val="24"/>
        </w:rPr>
      </w:pPr>
      <w:r>
        <w:rPr>
          <w:rFonts w:hint="eastAsia" w:cs="宋体"/>
          <w:sz w:val="24"/>
          <w:szCs w:val="24"/>
        </w:rPr>
        <w:t>7.2 终验收</w:t>
      </w:r>
    </w:p>
    <w:p>
      <w:pPr>
        <w:spacing w:line="440" w:lineRule="exact"/>
        <w:ind w:firstLine="480" w:firstLineChars="200"/>
        <w:rPr>
          <w:rFonts w:cs="宋体"/>
          <w:sz w:val="24"/>
          <w:szCs w:val="24"/>
        </w:rPr>
      </w:pPr>
      <w:r>
        <w:rPr>
          <w:rFonts w:hint="eastAsia" w:cs="宋体"/>
          <w:sz w:val="24"/>
          <w:szCs w:val="24"/>
        </w:rPr>
        <w:t>7.2.1 最终验收在招标方进行，终验收启动会议由招标方负责组织，启动终验收条件如下：</w:t>
      </w:r>
    </w:p>
    <w:p>
      <w:pPr>
        <w:spacing w:line="440" w:lineRule="exact"/>
        <w:ind w:firstLine="480" w:firstLineChars="200"/>
        <w:rPr>
          <w:rFonts w:cs="宋体"/>
          <w:sz w:val="24"/>
          <w:szCs w:val="24"/>
        </w:rPr>
      </w:pPr>
      <w:r>
        <w:rPr>
          <w:rFonts w:hint="eastAsia" w:cs="宋体"/>
          <w:sz w:val="24"/>
          <w:szCs w:val="24"/>
        </w:rPr>
        <w:t>试运行验收合格后两个月。生产节拍满足设计要求，各工位的节拍能达到平衡。</w:t>
      </w:r>
    </w:p>
    <w:p>
      <w:pPr>
        <w:spacing w:line="440" w:lineRule="exact"/>
        <w:ind w:firstLine="480" w:firstLineChars="200"/>
        <w:rPr>
          <w:rFonts w:cs="宋体"/>
          <w:sz w:val="24"/>
          <w:szCs w:val="24"/>
        </w:rPr>
      </w:pPr>
      <w:r>
        <w:rPr>
          <w:rFonts w:hint="eastAsia" w:cs="宋体"/>
          <w:sz w:val="24"/>
          <w:szCs w:val="24"/>
        </w:rPr>
        <w:t>7.2.2终验收工作内容：</w:t>
      </w:r>
    </w:p>
    <w:p>
      <w:pPr>
        <w:spacing w:line="440" w:lineRule="exact"/>
        <w:ind w:firstLine="480" w:firstLineChars="200"/>
        <w:rPr>
          <w:rFonts w:cs="宋体"/>
          <w:sz w:val="24"/>
          <w:szCs w:val="24"/>
        </w:rPr>
      </w:pPr>
      <w:r>
        <w:rPr>
          <w:rFonts w:hint="eastAsia" w:cs="宋体"/>
          <w:sz w:val="24"/>
          <w:szCs w:val="24"/>
        </w:rPr>
        <w:t>7.2.2.1是否达到生产纲领、节拍要求。</w:t>
      </w:r>
    </w:p>
    <w:p>
      <w:pPr>
        <w:spacing w:line="440" w:lineRule="exact"/>
        <w:ind w:firstLine="480" w:firstLineChars="200"/>
        <w:rPr>
          <w:rFonts w:cs="宋体"/>
          <w:sz w:val="24"/>
          <w:szCs w:val="24"/>
        </w:rPr>
      </w:pPr>
      <w:r>
        <w:rPr>
          <w:rFonts w:hint="eastAsia" w:cs="宋体"/>
          <w:sz w:val="24"/>
          <w:szCs w:val="24"/>
        </w:rPr>
        <w:t>7.2.2.2设备安全性、操作性、维护性检查，对各种可能发生故障的环节进行测试。</w:t>
      </w:r>
    </w:p>
    <w:p>
      <w:pPr>
        <w:spacing w:line="440" w:lineRule="exact"/>
        <w:ind w:firstLine="480" w:firstLineChars="200"/>
        <w:rPr>
          <w:rFonts w:cs="宋体"/>
          <w:sz w:val="24"/>
          <w:szCs w:val="24"/>
        </w:rPr>
      </w:pPr>
      <w:r>
        <w:rPr>
          <w:rFonts w:hint="eastAsia" w:cs="宋体"/>
          <w:sz w:val="24"/>
          <w:szCs w:val="24"/>
        </w:rPr>
        <w:t>7.2.2.3设备运行的可靠性、合理性、安全性、平稳性。</w:t>
      </w:r>
    </w:p>
    <w:p>
      <w:pPr>
        <w:spacing w:line="440" w:lineRule="exact"/>
        <w:ind w:firstLine="480" w:firstLineChars="200"/>
        <w:rPr>
          <w:rFonts w:cs="宋体"/>
          <w:sz w:val="24"/>
          <w:szCs w:val="24"/>
        </w:rPr>
      </w:pPr>
      <w:r>
        <w:rPr>
          <w:rFonts w:hint="eastAsia" w:cs="宋体"/>
          <w:sz w:val="24"/>
          <w:szCs w:val="24"/>
        </w:rPr>
        <w:t>7.2.2.4文件资料齐全。</w:t>
      </w:r>
    </w:p>
    <w:p>
      <w:pPr>
        <w:spacing w:line="440" w:lineRule="exact"/>
        <w:ind w:firstLine="480" w:firstLineChars="200"/>
        <w:rPr>
          <w:rFonts w:cs="宋体"/>
          <w:sz w:val="24"/>
          <w:szCs w:val="24"/>
        </w:rPr>
      </w:pPr>
      <w:r>
        <w:rPr>
          <w:rFonts w:hint="eastAsia" w:cs="宋体"/>
          <w:sz w:val="24"/>
          <w:szCs w:val="24"/>
        </w:rPr>
        <w:t>7.2.3投标方必须向招标方提供所有设备安装调试和运行合格的书面报告。</w:t>
      </w:r>
    </w:p>
    <w:p>
      <w:pPr>
        <w:spacing w:line="440" w:lineRule="exact"/>
        <w:ind w:firstLine="480" w:firstLineChars="200"/>
        <w:rPr>
          <w:rFonts w:cs="宋体"/>
          <w:sz w:val="24"/>
          <w:szCs w:val="24"/>
        </w:rPr>
      </w:pPr>
      <w:r>
        <w:rPr>
          <w:rFonts w:hint="eastAsia" w:cs="宋体"/>
          <w:sz w:val="24"/>
          <w:szCs w:val="24"/>
        </w:rPr>
        <w:t>7.2.4在满足预验收、动态验收、终验收的所有条件下，双方进行终验收签字。</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五、技术验收标准</w:t>
      </w:r>
    </w:p>
    <w:p>
      <w:pPr>
        <w:spacing w:line="440" w:lineRule="exact"/>
        <w:ind w:firstLine="480" w:firstLineChars="200"/>
        <w:rPr>
          <w:rFonts w:cs="宋体"/>
          <w:sz w:val="24"/>
          <w:szCs w:val="24"/>
        </w:rPr>
      </w:pPr>
      <w:r>
        <w:rPr>
          <w:rFonts w:hint="eastAsia" w:cs="宋体"/>
          <w:sz w:val="24"/>
          <w:szCs w:val="24"/>
        </w:rPr>
        <w:t>1、实现设备功能</w:t>
      </w:r>
    </w:p>
    <w:p>
      <w:pPr>
        <w:spacing w:line="440" w:lineRule="exact"/>
        <w:ind w:firstLine="480" w:firstLineChars="200"/>
        <w:rPr>
          <w:rFonts w:cs="宋体"/>
          <w:sz w:val="24"/>
          <w:szCs w:val="24"/>
        </w:rPr>
      </w:pPr>
      <w:r>
        <w:rPr>
          <w:rFonts w:hint="eastAsia" w:cs="宋体"/>
          <w:sz w:val="24"/>
          <w:szCs w:val="24"/>
        </w:rPr>
        <w:t>1.1.1定值拧紧设备实现效果：</w:t>
      </w:r>
    </w:p>
    <w:p>
      <w:pPr>
        <w:spacing w:line="440" w:lineRule="exact"/>
        <w:ind w:firstLine="480" w:firstLineChars="200"/>
        <w:rPr>
          <w:rFonts w:cs="宋体"/>
          <w:sz w:val="24"/>
          <w:szCs w:val="24"/>
        </w:rPr>
      </w:pPr>
      <w:r>
        <w:rPr>
          <w:rFonts w:hint="eastAsia" w:cs="宋体"/>
          <w:sz w:val="24"/>
          <w:szCs w:val="24"/>
        </w:rPr>
        <w:t>通过扫码设备扫描车辆VIN码（一维码或二维码均可），设备自动调取车辆的标准拧紧力矩值（拧紧力矩值由重汽海西公司负责维护），并自动设置工作拧紧参数，设备开始工作，然后存储实际拧紧力矩值。当设备实际拧紧力矩值与标准值偏离超过15%时，设备报警提示，由操作人员手工解除。</w:t>
      </w:r>
    </w:p>
    <w:p>
      <w:pPr>
        <w:spacing w:line="440" w:lineRule="exact"/>
        <w:ind w:firstLine="480" w:firstLineChars="200"/>
        <w:rPr>
          <w:rFonts w:cs="宋体"/>
          <w:sz w:val="24"/>
          <w:szCs w:val="24"/>
        </w:rPr>
      </w:pPr>
      <w:r>
        <w:rPr>
          <w:rFonts w:hint="eastAsia" w:cs="宋体"/>
          <w:sz w:val="24"/>
          <w:szCs w:val="24"/>
        </w:rPr>
        <w:t>1.1.2定量加注设备实现效果：</w:t>
      </w:r>
    </w:p>
    <w:p>
      <w:pPr>
        <w:spacing w:line="440" w:lineRule="exact"/>
        <w:ind w:firstLine="480" w:firstLineChars="200"/>
        <w:rPr>
          <w:rFonts w:cs="宋体"/>
          <w:sz w:val="24"/>
          <w:szCs w:val="24"/>
        </w:rPr>
      </w:pPr>
      <w:r>
        <w:rPr>
          <w:rFonts w:hint="eastAsia" w:cs="宋体"/>
          <w:sz w:val="24"/>
          <w:szCs w:val="24"/>
        </w:rPr>
        <w:t>通过扫码设备扫描车辆VIN码（一维码或二维码均可），设备自动调取车辆的标准加注量（加注量数值由重汽海西公司负责维护），并自动设置加注参数，设备开始工作，然后存储实际加注量。当设备实际加注量与标准值偏离超过2%时，设备报警提示，由操作人员手工解除。同时定量加注设备具有每天、每月实际加注量总和与标准加注量总和的数据收集功能。</w:t>
      </w:r>
    </w:p>
    <w:p>
      <w:pPr>
        <w:spacing w:line="440" w:lineRule="exact"/>
        <w:ind w:firstLine="480" w:firstLineChars="200"/>
        <w:rPr>
          <w:rFonts w:cs="宋体"/>
          <w:sz w:val="24"/>
          <w:szCs w:val="24"/>
        </w:rPr>
      </w:pPr>
      <w:r>
        <w:rPr>
          <w:rFonts w:hint="eastAsia" w:cs="宋体"/>
          <w:sz w:val="24"/>
          <w:szCs w:val="24"/>
        </w:rPr>
        <w:t>1.1.3设备及数据采集方面：</w:t>
      </w:r>
    </w:p>
    <w:p>
      <w:pPr>
        <w:spacing w:line="440" w:lineRule="exact"/>
        <w:ind w:firstLine="480" w:firstLineChars="200"/>
        <w:rPr>
          <w:rFonts w:cs="宋体"/>
          <w:sz w:val="24"/>
          <w:szCs w:val="24"/>
        </w:rPr>
      </w:pPr>
      <w:r>
        <w:rPr>
          <w:rFonts w:hint="eastAsia" w:cs="宋体"/>
          <w:sz w:val="24"/>
          <w:szCs w:val="24"/>
        </w:rPr>
        <w:t>信息传输稳定，无丢失现象。</w:t>
      </w:r>
    </w:p>
    <w:p>
      <w:pPr>
        <w:spacing w:line="440" w:lineRule="exact"/>
        <w:ind w:firstLine="480" w:firstLineChars="200"/>
        <w:rPr>
          <w:rFonts w:cs="宋体"/>
          <w:sz w:val="24"/>
          <w:szCs w:val="24"/>
        </w:rPr>
      </w:pPr>
      <w:r>
        <w:rPr>
          <w:rFonts w:hint="eastAsia" w:cs="宋体"/>
          <w:sz w:val="24"/>
          <w:szCs w:val="24"/>
        </w:rPr>
        <w:t>设备状态运行良好，无发热、卡滞、重启等问题。</w:t>
      </w:r>
    </w:p>
    <w:p>
      <w:pPr>
        <w:widowControl/>
        <w:rPr>
          <w:rStyle w:val="182"/>
          <w:rFonts w:eastAsia="黑体"/>
          <w:b/>
        </w:rPr>
      </w:pPr>
    </w:p>
    <w:p>
      <w:pPr>
        <w:pStyle w:val="5"/>
        <w:numPr>
          <w:ilvl w:val="2"/>
          <w:numId w:val="0"/>
        </w:numPr>
        <w:spacing w:line="500" w:lineRule="exact"/>
        <w:jc w:val="center"/>
        <w:rPr>
          <w:rFonts w:ascii="宋体" w:hAnsi="宋体" w:cs="宋体"/>
        </w:rPr>
      </w:pPr>
      <w:r>
        <w:rPr>
          <w:rFonts w:hint="eastAsia" w:ascii="宋体" w:hAnsi="宋体" w:cs="宋体"/>
        </w:rPr>
        <w:t>第三章供货范围及供货方式</w:t>
      </w:r>
    </w:p>
    <w:p>
      <w:pPr>
        <w:spacing w:line="440" w:lineRule="exact"/>
        <w:ind w:firstLine="482" w:firstLineChars="200"/>
        <w:jc w:val="center"/>
        <w:rPr>
          <w:rFonts w:cs="宋体"/>
          <w:b/>
          <w:bCs/>
          <w:sz w:val="24"/>
          <w:szCs w:val="24"/>
        </w:rPr>
      </w:pPr>
      <w:r>
        <w:rPr>
          <w:rFonts w:hint="eastAsia" w:cs="宋体"/>
          <w:b/>
          <w:bCs/>
          <w:sz w:val="24"/>
          <w:szCs w:val="24"/>
        </w:rPr>
        <w:t>第一节 供货范围</w:t>
      </w:r>
    </w:p>
    <w:p>
      <w:pPr>
        <w:spacing w:line="440" w:lineRule="exact"/>
        <w:ind w:firstLine="482" w:firstLineChars="200"/>
        <w:rPr>
          <w:rFonts w:cs="宋体"/>
          <w:b/>
          <w:bCs/>
          <w:sz w:val="24"/>
          <w:szCs w:val="24"/>
        </w:rPr>
      </w:pPr>
      <w:r>
        <w:rPr>
          <w:rFonts w:hint="eastAsia" w:cs="宋体"/>
          <w:b/>
          <w:bCs/>
          <w:sz w:val="24"/>
          <w:szCs w:val="24"/>
        </w:rPr>
        <w:t>一、供货范围</w:t>
      </w:r>
    </w:p>
    <w:p>
      <w:pPr>
        <w:spacing w:line="440" w:lineRule="exact"/>
        <w:ind w:firstLine="480" w:firstLineChars="200"/>
        <w:rPr>
          <w:rFonts w:cs="宋体"/>
          <w:sz w:val="24"/>
          <w:szCs w:val="24"/>
        </w:rPr>
      </w:pPr>
      <w:r>
        <w:rPr>
          <w:rFonts w:hint="eastAsia" w:cs="宋体"/>
          <w:sz w:val="24"/>
          <w:szCs w:val="24"/>
        </w:rPr>
        <w:t>（一）一般界定</w:t>
      </w:r>
    </w:p>
    <w:p>
      <w:pPr>
        <w:spacing w:line="440" w:lineRule="exact"/>
        <w:ind w:firstLine="480" w:firstLineChars="200"/>
        <w:rPr>
          <w:rFonts w:cs="宋体"/>
          <w:sz w:val="24"/>
          <w:szCs w:val="24"/>
        </w:rPr>
      </w:pPr>
      <w:r>
        <w:rPr>
          <w:rFonts w:hint="eastAsia" w:cs="宋体"/>
          <w:sz w:val="24"/>
          <w:szCs w:val="24"/>
        </w:rPr>
        <w:t>1.包括本技术标书所列明的主要货物以及货物正常运行所必需的全套连线设备、联网设备、材料等。如货物端联接法兰外端面之内的、电气系统接口压线板（插座等）之内的设备、材料、联接螺栓、垫片等。</w:t>
      </w:r>
    </w:p>
    <w:p>
      <w:pPr>
        <w:spacing w:line="440" w:lineRule="exact"/>
        <w:ind w:firstLine="480" w:firstLineChars="200"/>
        <w:rPr>
          <w:rFonts w:cs="宋体"/>
          <w:sz w:val="24"/>
          <w:szCs w:val="24"/>
        </w:rPr>
      </w:pPr>
      <w:r>
        <w:rPr>
          <w:rFonts w:hint="eastAsia" w:cs="宋体"/>
          <w:sz w:val="24"/>
          <w:szCs w:val="24"/>
        </w:rPr>
        <w:t>2.包括为保证货物正常安装、调试和验收完成及以前所必需的整套配件、附件及材料、油料、控制软件及程序或指令等。</w:t>
      </w:r>
    </w:p>
    <w:p>
      <w:pPr>
        <w:spacing w:line="440" w:lineRule="exact"/>
        <w:ind w:firstLine="480" w:firstLineChars="200"/>
        <w:rPr>
          <w:rFonts w:cs="宋体"/>
          <w:sz w:val="24"/>
          <w:szCs w:val="24"/>
        </w:rPr>
      </w:pPr>
      <w:r>
        <w:rPr>
          <w:rFonts w:hint="eastAsia" w:cs="宋体"/>
          <w:sz w:val="24"/>
          <w:szCs w:val="24"/>
        </w:rPr>
        <w:t>如果终验收完成后，卖方有需要收回的配件、附件、材料、油料等，应当在投标文件的技术偏离条款中，予以详细说明；否则视同包括在供货范围之内。</w:t>
      </w:r>
    </w:p>
    <w:p>
      <w:pPr>
        <w:spacing w:line="440" w:lineRule="exact"/>
        <w:ind w:firstLine="480" w:firstLineChars="200"/>
        <w:rPr>
          <w:rFonts w:cs="宋体"/>
          <w:sz w:val="24"/>
          <w:szCs w:val="24"/>
        </w:rPr>
      </w:pPr>
      <w:r>
        <w:rPr>
          <w:rFonts w:hint="eastAsia" w:cs="宋体"/>
          <w:sz w:val="24"/>
          <w:szCs w:val="24"/>
        </w:rPr>
        <w:t>3.包括货物维护维修所必需的专用工具。</w:t>
      </w:r>
    </w:p>
    <w:p>
      <w:pPr>
        <w:spacing w:line="440" w:lineRule="exact"/>
        <w:ind w:firstLine="480" w:firstLineChars="200"/>
        <w:rPr>
          <w:rFonts w:cs="宋体"/>
          <w:sz w:val="24"/>
          <w:szCs w:val="24"/>
        </w:rPr>
      </w:pPr>
      <w:r>
        <w:rPr>
          <w:rFonts w:hint="eastAsia" w:cs="宋体"/>
          <w:sz w:val="24"/>
          <w:szCs w:val="24"/>
        </w:rPr>
        <w:t>4.包括货物为达到产品标准以及环保、消防和劳动安全卫生等国家法律、法规和标准、规范要求而必须配备但标书未明确提出的除尘系统、通风系统、近距离照明系统以及劳动安全防护设施（不包括人体防护用品）等使用现场配套的设备、材料等。</w:t>
      </w:r>
    </w:p>
    <w:p>
      <w:pPr>
        <w:spacing w:line="440" w:lineRule="exact"/>
        <w:ind w:firstLine="480" w:firstLineChars="200"/>
        <w:rPr>
          <w:rFonts w:cs="宋体"/>
          <w:sz w:val="24"/>
          <w:szCs w:val="24"/>
        </w:rPr>
      </w:pPr>
      <w:r>
        <w:rPr>
          <w:rFonts w:hint="eastAsia" w:cs="宋体"/>
          <w:sz w:val="24"/>
          <w:szCs w:val="24"/>
        </w:rPr>
        <w:t>包括为保证货物自身正常运行所必需的、满足使用地点环境条件的通风、冷却、降温等必需设施。</w:t>
      </w:r>
    </w:p>
    <w:p>
      <w:pPr>
        <w:spacing w:line="440" w:lineRule="exact"/>
        <w:ind w:firstLine="480" w:firstLineChars="200"/>
        <w:rPr>
          <w:rFonts w:cs="宋体"/>
          <w:sz w:val="24"/>
          <w:szCs w:val="24"/>
        </w:rPr>
      </w:pPr>
      <w:r>
        <w:rPr>
          <w:rFonts w:hint="eastAsia" w:cs="宋体"/>
          <w:sz w:val="24"/>
          <w:szCs w:val="24"/>
        </w:rPr>
        <w:t>如投标方难以提供或无优势提供以及属于选用配置的，则应当在投标文件的技术偏离条款中，予以详细说明并注明投标报价未包含该部分的货值。</w:t>
      </w:r>
    </w:p>
    <w:p>
      <w:pPr>
        <w:spacing w:line="440" w:lineRule="exact"/>
        <w:ind w:firstLine="480" w:firstLineChars="200"/>
        <w:rPr>
          <w:rFonts w:cs="宋体"/>
          <w:sz w:val="24"/>
          <w:szCs w:val="24"/>
        </w:rPr>
      </w:pPr>
      <w:r>
        <w:rPr>
          <w:rFonts w:hint="eastAsia" w:cs="宋体"/>
          <w:sz w:val="24"/>
          <w:szCs w:val="24"/>
        </w:rPr>
        <w:t>（二）供货范围边界界定</w:t>
      </w:r>
    </w:p>
    <w:p>
      <w:pPr>
        <w:spacing w:line="440" w:lineRule="exact"/>
        <w:ind w:firstLine="480" w:firstLineChars="200"/>
        <w:rPr>
          <w:rFonts w:cs="宋体"/>
          <w:sz w:val="24"/>
          <w:szCs w:val="24"/>
        </w:rPr>
      </w:pPr>
      <w:r>
        <w:rPr>
          <w:rFonts w:hint="eastAsia" w:cs="宋体"/>
          <w:sz w:val="24"/>
          <w:szCs w:val="24"/>
        </w:rPr>
        <w:t>1.买方提供货物所需的建筑物（如厂房等）和构筑物（如混凝土池、砼基础等），包含正常安装施工所需的预埋件（如穿管、预埋螺栓、螺母及垫片）。</w:t>
      </w:r>
    </w:p>
    <w:p>
      <w:pPr>
        <w:spacing w:line="440" w:lineRule="exact"/>
        <w:ind w:firstLine="480" w:firstLineChars="200"/>
        <w:rPr>
          <w:rFonts w:cs="宋体"/>
          <w:sz w:val="24"/>
          <w:szCs w:val="24"/>
        </w:rPr>
      </w:pPr>
      <w:r>
        <w:rPr>
          <w:rFonts w:hint="eastAsia" w:cs="宋体"/>
          <w:sz w:val="24"/>
          <w:szCs w:val="24"/>
        </w:rPr>
        <w:t>2.买方提供符合本技术标书中“采购货物概况”和“使用环境”章节所列明品质的电力、自来水、压缩空气、蒸汽、天然气（或煤气）管线至系统接口，如：系统电力接口的接线端，水、气、汽等外围管线端联接法兰外端面。</w:t>
      </w:r>
    </w:p>
    <w:p>
      <w:pPr>
        <w:spacing w:line="440" w:lineRule="exact"/>
        <w:ind w:firstLine="480" w:firstLineChars="200"/>
        <w:rPr>
          <w:rFonts w:cs="宋体"/>
          <w:sz w:val="24"/>
          <w:szCs w:val="24"/>
        </w:rPr>
      </w:pPr>
      <w:r>
        <w:rPr>
          <w:rFonts w:hint="eastAsia" w:cs="宋体"/>
          <w:sz w:val="24"/>
          <w:szCs w:val="24"/>
        </w:rPr>
        <w:t>如果投标方认为能源系统接口地点以及操控地点之间的货物数量不清或难以界定，应当以书面方式询标或以单价方式报价；否则视同满足招标方要求。</w:t>
      </w:r>
    </w:p>
    <w:p>
      <w:pPr>
        <w:spacing w:line="440" w:lineRule="exact"/>
        <w:ind w:firstLine="480" w:firstLineChars="200"/>
        <w:rPr>
          <w:rFonts w:cs="宋体"/>
          <w:sz w:val="24"/>
          <w:szCs w:val="24"/>
        </w:rPr>
      </w:pPr>
      <w:r>
        <w:rPr>
          <w:rFonts w:hint="eastAsia" w:cs="宋体"/>
          <w:sz w:val="24"/>
          <w:szCs w:val="24"/>
        </w:rPr>
        <w:t>3.对于招标文件中无明确具体要求而投标方认为必须具备的其它货物，投标方必须将该部分货物单独报价（该报价含运杂费及税费等其它费用，而且不再作为其它报价涉及的其它费用的计算基数）。</w:t>
      </w:r>
    </w:p>
    <w:p>
      <w:pPr>
        <w:spacing w:line="440" w:lineRule="exact"/>
        <w:ind w:firstLine="480" w:firstLineChars="200"/>
        <w:rPr>
          <w:rFonts w:cs="宋体"/>
          <w:sz w:val="24"/>
          <w:szCs w:val="24"/>
        </w:rPr>
      </w:pPr>
      <w:r>
        <w:rPr>
          <w:rFonts w:hint="eastAsia" w:cs="宋体"/>
          <w:sz w:val="24"/>
          <w:szCs w:val="24"/>
        </w:rPr>
        <w:t>4.以“交钥匙”方式采购的货物，在满足技术标书本节上述要求之外，同时包括货物正常运行、使用所需要的过桥、护栏、防护网、盖板等辅助设施。</w:t>
      </w:r>
    </w:p>
    <w:p>
      <w:pPr>
        <w:spacing w:line="440" w:lineRule="exact"/>
        <w:ind w:firstLine="482" w:firstLineChars="200"/>
        <w:rPr>
          <w:rFonts w:cs="宋体"/>
          <w:b/>
          <w:bCs/>
          <w:sz w:val="24"/>
          <w:szCs w:val="24"/>
        </w:rPr>
      </w:pPr>
      <w:r>
        <w:rPr>
          <w:rFonts w:hint="eastAsia" w:cs="宋体"/>
          <w:b/>
          <w:bCs/>
          <w:sz w:val="24"/>
          <w:szCs w:val="24"/>
        </w:rPr>
        <w:t>二、备品备件、易损件和专用耗材供货范围</w:t>
      </w:r>
    </w:p>
    <w:p>
      <w:pPr>
        <w:spacing w:line="440" w:lineRule="exact"/>
        <w:ind w:firstLine="480" w:firstLineChars="200"/>
        <w:rPr>
          <w:rFonts w:cs="宋体"/>
          <w:sz w:val="24"/>
          <w:szCs w:val="24"/>
        </w:rPr>
      </w:pPr>
      <w:r>
        <w:rPr>
          <w:rFonts w:hint="eastAsia" w:cs="宋体"/>
          <w:sz w:val="24"/>
          <w:szCs w:val="24"/>
        </w:rPr>
        <w:t>1.备品备件、易损件和专用耗材是招标方为保证货物质保期之后正常运行一年所自备自用的备品备件、易损件和专用耗材。</w:t>
      </w:r>
    </w:p>
    <w:p>
      <w:pPr>
        <w:spacing w:line="440" w:lineRule="exact"/>
        <w:ind w:firstLine="480" w:firstLineChars="200"/>
        <w:rPr>
          <w:rFonts w:cs="宋体"/>
          <w:sz w:val="24"/>
          <w:szCs w:val="24"/>
        </w:rPr>
      </w:pPr>
      <w:r>
        <w:rPr>
          <w:rFonts w:hint="eastAsia" w:cs="宋体"/>
          <w:sz w:val="24"/>
          <w:szCs w:val="24"/>
        </w:rPr>
        <w:t>质保期之内正常需要的备品备件、易损件和专用耗材全部包括在供货范围之内而不属于本条款界定的范围（应有明细）。</w:t>
      </w:r>
    </w:p>
    <w:p>
      <w:pPr>
        <w:spacing w:line="440" w:lineRule="exact"/>
        <w:ind w:firstLine="480" w:firstLineChars="200"/>
        <w:rPr>
          <w:rFonts w:cs="宋体"/>
          <w:sz w:val="24"/>
          <w:szCs w:val="24"/>
        </w:rPr>
      </w:pPr>
      <w:r>
        <w:rPr>
          <w:rFonts w:hint="eastAsia" w:cs="宋体"/>
          <w:sz w:val="24"/>
          <w:szCs w:val="24"/>
        </w:rPr>
        <w:t>2.供货范围包括易损件和专用耗材的制造图纸及其技术要求等资料，如涉及专有技术或无法提供，应在投标文件中予以澄清或说明。</w:t>
      </w:r>
    </w:p>
    <w:p>
      <w:pPr>
        <w:spacing w:line="440" w:lineRule="exact"/>
        <w:ind w:firstLine="482" w:firstLineChars="200"/>
        <w:rPr>
          <w:rFonts w:cs="宋体"/>
          <w:b/>
          <w:bCs/>
          <w:sz w:val="24"/>
          <w:szCs w:val="24"/>
        </w:rPr>
      </w:pPr>
      <w:r>
        <w:rPr>
          <w:rFonts w:hint="eastAsia" w:cs="宋体"/>
          <w:b/>
          <w:bCs/>
          <w:sz w:val="24"/>
          <w:szCs w:val="24"/>
        </w:rPr>
        <w:t>三、技术资料供货范围</w:t>
      </w:r>
    </w:p>
    <w:p>
      <w:pPr>
        <w:spacing w:line="440" w:lineRule="exact"/>
        <w:ind w:firstLine="480" w:firstLineChars="200"/>
        <w:rPr>
          <w:rFonts w:cs="宋体"/>
          <w:sz w:val="24"/>
          <w:szCs w:val="24"/>
        </w:rPr>
      </w:pPr>
      <w:r>
        <w:rPr>
          <w:rFonts w:hint="eastAsia" w:cs="宋体"/>
          <w:sz w:val="24"/>
          <w:szCs w:val="24"/>
        </w:rPr>
        <w:t>技术资料供货范围包括：</w:t>
      </w:r>
    </w:p>
    <w:p>
      <w:pPr>
        <w:spacing w:line="440" w:lineRule="exact"/>
        <w:ind w:firstLine="480" w:firstLineChars="200"/>
        <w:rPr>
          <w:rFonts w:cs="宋体"/>
          <w:sz w:val="24"/>
          <w:szCs w:val="24"/>
        </w:rPr>
      </w:pPr>
      <w:r>
        <w:rPr>
          <w:rFonts w:hint="eastAsia" w:cs="宋体"/>
          <w:sz w:val="24"/>
          <w:szCs w:val="24"/>
        </w:rPr>
        <w:t xml:space="preserve"> 1.中标通知后7天内，完成现场勘查，设计检测工位内部布局图纸及设备基础图并会签。在合同签订后 7个日历日内，提供货物基础及相关的设计、制作所需的纸质及电子版资料；电子版文件应当能够使用常用版本软件可以阅读甚至使用，进口货物、设备应有中外文对照。</w:t>
      </w:r>
    </w:p>
    <w:p>
      <w:pPr>
        <w:spacing w:line="440" w:lineRule="exact"/>
        <w:ind w:firstLine="480" w:firstLineChars="200"/>
        <w:rPr>
          <w:rFonts w:cs="宋体"/>
          <w:sz w:val="24"/>
          <w:szCs w:val="24"/>
        </w:rPr>
      </w:pPr>
      <w:r>
        <w:rPr>
          <w:rFonts w:hint="eastAsia" w:cs="宋体"/>
          <w:sz w:val="24"/>
          <w:szCs w:val="24"/>
        </w:rPr>
        <w:t>2.在预验收前，提供货物各部分的功能描述文件、图片、影像等资料（进口、设备应有中外文对照）。</w:t>
      </w:r>
    </w:p>
    <w:p>
      <w:pPr>
        <w:spacing w:line="440" w:lineRule="exact"/>
        <w:ind w:firstLine="480" w:firstLineChars="200"/>
        <w:rPr>
          <w:rFonts w:cs="宋体"/>
          <w:sz w:val="24"/>
          <w:szCs w:val="24"/>
        </w:rPr>
      </w:pPr>
      <w:r>
        <w:rPr>
          <w:rFonts w:hint="eastAsia" w:cs="宋体"/>
          <w:sz w:val="24"/>
          <w:szCs w:val="24"/>
        </w:rPr>
        <w:t>3.在终验收前，提供为保证货物后续正常运行所需的工装、吊（挂）具明细及其图纸、具体技术要求等资料（如果供货范围包含该部分实物）。</w:t>
      </w:r>
    </w:p>
    <w:p>
      <w:pPr>
        <w:spacing w:line="440" w:lineRule="exact"/>
        <w:ind w:firstLine="480" w:firstLineChars="200"/>
        <w:rPr>
          <w:rFonts w:cs="宋体"/>
          <w:sz w:val="24"/>
          <w:szCs w:val="24"/>
        </w:rPr>
      </w:pPr>
      <w:r>
        <w:rPr>
          <w:rFonts w:hint="eastAsia" w:cs="宋体"/>
          <w:sz w:val="24"/>
          <w:szCs w:val="24"/>
        </w:rPr>
        <w:t>4.在终验收前，提供确定的维修所需要且买方可以自行采购的外购件、外协件、电气元件及主要原材料的供货厂家明细表。</w:t>
      </w:r>
    </w:p>
    <w:p>
      <w:pPr>
        <w:spacing w:line="440" w:lineRule="exact"/>
        <w:ind w:firstLine="480" w:firstLineChars="200"/>
        <w:rPr>
          <w:rFonts w:cs="宋体"/>
          <w:sz w:val="24"/>
          <w:szCs w:val="24"/>
        </w:rPr>
      </w:pPr>
      <w:r>
        <w:rPr>
          <w:rFonts w:hint="eastAsia" w:cs="宋体"/>
          <w:sz w:val="24"/>
          <w:szCs w:val="24"/>
        </w:rPr>
        <w:t>5.在终验收后的第一笔货款支付日之前，提供包括货物的备品备件、易损件和专用耗材的图纸及技术参数、技术要求等资料。</w:t>
      </w:r>
    </w:p>
    <w:p>
      <w:pPr>
        <w:spacing w:line="440" w:lineRule="exact"/>
        <w:ind w:firstLine="480" w:firstLineChars="200"/>
        <w:rPr>
          <w:rFonts w:cs="宋体"/>
          <w:sz w:val="24"/>
          <w:szCs w:val="24"/>
        </w:rPr>
      </w:pPr>
      <w:r>
        <w:rPr>
          <w:rFonts w:hint="eastAsia" w:cs="宋体"/>
          <w:sz w:val="24"/>
          <w:szCs w:val="24"/>
        </w:rPr>
        <w:t>6.在终验收后的第一笔货款支付日之前，提供关于采购货物的操作维护手册、保养维修手册、安全注意事项等使用说明书、仪器仪表检定和使用维修说明书、合格证、产品样本等技术资料（含图片和影像等资料）；对于进口设备，应有中外文资料说明。</w:t>
      </w:r>
    </w:p>
    <w:p>
      <w:pPr>
        <w:spacing w:line="440" w:lineRule="exact"/>
        <w:ind w:firstLine="480" w:firstLineChars="200"/>
        <w:rPr>
          <w:rFonts w:cs="宋体"/>
          <w:sz w:val="24"/>
          <w:szCs w:val="24"/>
        </w:rPr>
      </w:pPr>
      <w:r>
        <w:rPr>
          <w:rFonts w:hint="eastAsia" w:cs="宋体"/>
          <w:sz w:val="24"/>
          <w:szCs w:val="24"/>
        </w:rPr>
        <w:t>7.在终验收后的第一笔货款支付日之前，提供关于采购货物的电气资料（包括接线图、原理图、布线图、梯形图等）、液压（气动）原理图和系统图、安装基础图、维修图等有关的资料（含图片和影像等资料）；非标准货物还应当提供设计总图、全线布置图等详细资料；对于进口设备，应有中外文资料说明。</w:t>
      </w:r>
    </w:p>
    <w:p>
      <w:pPr>
        <w:spacing w:line="440" w:lineRule="exact"/>
        <w:ind w:firstLine="480" w:firstLineChars="200"/>
        <w:rPr>
          <w:rFonts w:cs="宋体"/>
          <w:sz w:val="24"/>
          <w:szCs w:val="24"/>
        </w:rPr>
      </w:pPr>
      <w:r>
        <w:rPr>
          <w:rFonts w:hint="eastAsia" w:cs="宋体"/>
          <w:sz w:val="24"/>
          <w:szCs w:val="24"/>
        </w:rPr>
        <w:t>8.本条款所列的技术资料、图片、影像等，投标方应各提供5套，其中2套为电子版光（软）盘；每份技术文件应装有目录清单。</w:t>
      </w:r>
    </w:p>
    <w:p>
      <w:pPr>
        <w:spacing w:line="440" w:lineRule="exact"/>
        <w:ind w:firstLine="480" w:firstLineChars="200"/>
        <w:rPr>
          <w:rFonts w:cs="宋体"/>
          <w:sz w:val="24"/>
          <w:szCs w:val="24"/>
        </w:rPr>
      </w:pPr>
      <w:r>
        <w:rPr>
          <w:rFonts w:hint="eastAsia" w:cs="宋体"/>
          <w:sz w:val="24"/>
          <w:szCs w:val="24"/>
        </w:rPr>
        <w:t>9.本条款所列要求，如招标方认为投标方提供的资料不能满足要求时，有权要求投标方免费补充或增加。</w:t>
      </w:r>
    </w:p>
    <w:p>
      <w:pPr>
        <w:spacing w:line="440" w:lineRule="exact"/>
        <w:ind w:firstLine="482" w:firstLineChars="200"/>
        <w:rPr>
          <w:rFonts w:cs="宋体"/>
          <w:b/>
          <w:bCs/>
          <w:sz w:val="24"/>
          <w:szCs w:val="24"/>
        </w:rPr>
      </w:pPr>
      <w:r>
        <w:rPr>
          <w:rFonts w:hint="eastAsia" w:cs="宋体"/>
          <w:b/>
          <w:bCs/>
          <w:sz w:val="24"/>
          <w:szCs w:val="24"/>
        </w:rPr>
        <w:t>四、供货范围特别提示</w:t>
      </w:r>
    </w:p>
    <w:p>
      <w:pPr>
        <w:spacing w:line="440" w:lineRule="exact"/>
        <w:ind w:firstLine="480" w:firstLineChars="200"/>
        <w:rPr>
          <w:rFonts w:cs="宋体"/>
          <w:sz w:val="24"/>
          <w:szCs w:val="24"/>
        </w:rPr>
      </w:pPr>
      <w:r>
        <w:rPr>
          <w:rFonts w:hint="eastAsia" w:cs="宋体"/>
          <w:sz w:val="24"/>
          <w:szCs w:val="24"/>
        </w:rPr>
        <w:t>如果投标方认为本节所列的供货范围难以满足，则仍需要按照本要求提供，但该部分货物应当在投标报价中单独列明货物名称及品质、货值。</w:t>
      </w:r>
    </w:p>
    <w:p>
      <w:pPr>
        <w:autoSpaceDE w:val="0"/>
        <w:autoSpaceDN w:val="0"/>
        <w:adjustRightInd w:val="0"/>
        <w:ind w:firstLine="480" w:firstLineChars="200"/>
        <w:jc w:val="left"/>
        <w:rPr>
          <w:rFonts w:cs="宋体"/>
          <w:sz w:val="24"/>
          <w:szCs w:val="24"/>
        </w:rPr>
      </w:pPr>
    </w:p>
    <w:p>
      <w:pPr>
        <w:pStyle w:val="5"/>
        <w:numPr>
          <w:ilvl w:val="2"/>
          <w:numId w:val="0"/>
        </w:numPr>
        <w:spacing w:line="500" w:lineRule="exact"/>
        <w:jc w:val="center"/>
        <w:rPr>
          <w:rFonts w:ascii="宋体" w:hAnsi="宋体" w:cs="宋体"/>
        </w:rPr>
      </w:pPr>
      <w:r>
        <w:rPr>
          <w:rFonts w:hint="eastAsia" w:ascii="宋体" w:hAnsi="宋体" w:cs="宋体"/>
        </w:rPr>
        <w:t>第二节 供货方式</w:t>
      </w:r>
    </w:p>
    <w:p>
      <w:pPr>
        <w:spacing w:line="440" w:lineRule="exact"/>
        <w:ind w:firstLine="482" w:firstLineChars="200"/>
        <w:rPr>
          <w:rFonts w:cs="宋体"/>
          <w:b/>
          <w:bCs/>
          <w:sz w:val="24"/>
          <w:szCs w:val="24"/>
        </w:rPr>
      </w:pPr>
      <w:r>
        <w:rPr>
          <w:rFonts w:hint="eastAsia" w:cs="宋体"/>
          <w:b/>
          <w:bCs/>
          <w:sz w:val="24"/>
          <w:szCs w:val="24"/>
        </w:rPr>
        <w:t>一、供货方式</w:t>
      </w:r>
    </w:p>
    <w:p>
      <w:pPr>
        <w:spacing w:line="440" w:lineRule="exact"/>
        <w:ind w:firstLine="480" w:firstLineChars="200"/>
        <w:rPr>
          <w:rFonts w:cs="宋体"/>
          <w:sz w:val="24"/>
          <w:szCs w:val="24"/>
        </w:rPr>
      </w:pPr>
      <w:r>
        <w:rPr>
          <w:rFonts w:hint="eastAsia" w:cs="宋体"/>
          <w:sz w:val="24"/>
          <w:szCs w:val="24"/>
        </w:rPr>
        <w:t>完全交钥匙方式，即本次招标货物至少包括以下货物及服务：非标或特需设计，制造，必要的卖方现场预验收，至交货地点的运输（含定点装卸），安装，调试，买方安装地竣工验收服务，货物移交，约定培训等全流程范围。</w:t>
      </w:r>
    </w:p>
    <w:p>
      <w:pPr>
        <w:spacing w:line="440" w:lineRule="exact"/>
        <w:ind w:firstLine="482" w:firstLineChars="200"/>
        <w:rPr>
          <w:rFonts w:cs="宋体"/>
          <w:sz w:val="24"/>
          <w:szCs w:val="24"/>
        </w:rPr>
      </w:pPr>
      <w:r>
        <w:rPr>
          <w:rFonts w:hint="eastAsia" w:cs="宋体"/>
          <w:b/>
          <w:bCs/>
          <w:sz w:val="24"/>
          <w:szCs w:val="24"/>
        </w:rPr>
        <w:t>二、供货地点：</w:t>
      </w:r>
      <w:r>
        <w:rPr>
          <w:rFonts w:hint="eastAsia" w:cs="宋体"/>
          <w:sz w:val="24"/>
          <w:szCs w:val="24"/>
        </w:rPr>
        <w:t>福建省永安市埔岭99号中国重汽集团福建海西汽车有限公司</w:t>
      </w:r>
    </w:p>
    <w:p>
      <w:pPr>
        <w:spacing w:line="440" w:lineRule="exact"/>
        <w:ind w:firstLine="482" w:firstLineChars="200"/>
        <w:rPr>
          <w:rFonts w:cs="宋体"/>
          <w:b/>
          <w:bCs/>
          <w:sz w:val="24"/>
          <w:szCs w:val="24"/>
        </w:rPr>
      </w:pPr>
      <w:r>
        <w:rPr>
          <w:rFonts w:hint="eastAsia" w:cs="宋体"/>
          <w:b/>
          <w:bCs/>
          <w:sz w:val="24"/>
          <w:szCs w:val="24"/>
        </w:rPr>
        <w:t>三、供货时间</w:t>
      </w:r>
    </w:p>
    <w:p>
      <w:pPr>
        <w:spacing w:line="440" w:lineRule="exact"/>
        <w:ind w:firstLine="480" w:firstLineChars="200"/>
        <w:rPr>
          <w:rFonts w:cs="宋体"/>
          <w:sz w:val="24"/>
          <w:szCs w:val="24"/>
        </w:rPr>
      </w:pPr>
      <w:r>
        <w:rPr>
          <w:rFonts w:hint="eastAsia" w:cs="宋体"/>
          <w:sz w:val="24"/>
          <w:szCs w:val="24"/>
        </w:rPr>
        <w:t>设备改造项目要求在</w:t>
      </w:r>
      <w:r>
        <w:rPr>
          <w:rFonts w:cs="宋体"/>
          <w:sz w:val="24"/>
          <w:szCs w:val="24"/>
        </w:rPr>
        <w:t>90</w:t>
      </w:r>
      <w:r>
        <w:rPr>
          <w:rFonts w:hint="eastAsia" w:cs="宋体"/>
          <w:sz w:val="24"/>
          <w:szCs w:val="24"/>
        </w:rPr>
        <w:t>个日历日内完成调试并投入使用。</w:t>
      </w:r>
    </w:p>
    <w:p>
      <w:pPr>
        <w:spacing w:line="440" w:lineRule="exact"/>
        <w:ind w:firstLine="482" w:firstLineChars="200"/>
        <w:rPr>
          <w:rFonts w:cs="宋体"/>
          <w:b/>
          <w:bCs/>
          <w:sz w:val="24"/>
          <w:szCs w:val="24"/>
        </w:rPr>
      </w:pPr>
      <w:r>
        <w:rPr>
          <w:rFonts w:hint="eastAsia" w:cs="宋体"/>
          <w:b/>
          <w:bCs/>
          <w:sz w:val="24"/>
          <w:szCs w:val="24"/>
        </w:rPr>
        <w:t>四、包装</w:t>
      </w:r>
    </w:p>
    <w:p>
      <w:pPr>
        <w:spacing w:line="440" w:lineRule="exact"/>
        <w:ind w:firstLine="480" w:firstLineChars="200"/>
        <w:rPr>
          <w:rFonts w:cs="宋体"/>
          <w:sz w:val="24"/>
          <w:szCs w:val="24"/>
        </w:rPr>
      </w:pPr>
      <w:r>
        <w:rPr>
          <w:rFonts w:hint="eastAsia" w:cs="宋体"/>
          <w:sz w:val="24"/>
          <w:szCs w:val="24"/>
        </w:rPr>
        <w:t>1.所提供货物（或设备）的包装，应遵照国家标准和有关包装的技术条件，或按照最好的商业惯例进行包装。</w:t>
      </w:r>
    </w:p>
    <w:p>
      <w:pPr>
        <w:spacing w:line="440" w:lineRule="exact"/>
        <w:ind w:firstLine="480" w:firstLineChars="200"/>
        <w:rPr>
          <w:rFonts w:cs="宋体"/>
          <w:sz w:val="24"/>
          <w:szCs w:val="24"/>
        </w:rPr>
      </w:pPr>
      <w:r>
        <w:rPr>
          <w:rFonts w:hint="eastAsia" w:cs="宋体"/>
          <w:sz w:val="24"/>
          <w:szCs w:val="24"/>
        </w:rPr>
        <w:t>2.包装应能满足所需要采取的运输方式（船运、汽运或铁路运输）、多次吊装卸装、卸货以及长期露天堆放要求，应能防止雨淋、受潮、生锈、腐蚀、受振、受磁以及机械和化学因素等引起的损坏。</w:t>
      </w:r>
    </w:p>
    <w:p>
      <w:pPr>
        <w:spacing w:line="440" w:lineRule="exact"/>
        <w:ind w:firstLine="480" w:firstLineChars="200"/>
        <w:rPr>
          <w:rFonts w:cs="宋体"/>
          <w:sz w:val="24"/>
          <w:szCs w:val="24"/>
        </w:rPr>
      </w:pPr>
      <w:r>
        <w:rPr>
          <w:rFonts w:hint="eastAsia" w:cs="宋体"/>
          <w:sz w:val="24"/>
          <w:szCs w:val="24"/>
        </w:rPr>
        <w:t>3.所提供货物（或设备）的包装，应能防止其一般性被窃或受外力破坏；一般不得采用有大缝隙的板条包装。</w:t>
      </w:r>
    </w:p>
    <w:p>
      <w:pPr>
        <w:spacing w:line="440" w:lineRule="exact"/>
        <w:ind w:firstLine="480" w:firstLineChars="200"/>
        <w:rPr>
          <w:rFonts w:cs="宋体"/>
          <w:sz w:val="24"/>
          <w:szCs w:val="24"/>
        </w:rPr>
      </w:pPr>
      <w:r>
        <w:rPr>
          <w:rFonts w:hint="eastAsia" w:cs="宋体"/>
          <w:sz w:val="24"/>
          <w:szCs w:val="24"/>
        </w:rPr>
        <w:t>4.应对包装件做必要的加固和固定，以防止运输可能造成的损坏。</w:t>
      </w:r>
    </w:p>
    <w:p>
      <w:pPr>
        <w:spacing w:line="440" w:lineRule="exact"/>
        <w:ind w:firstLine="480" w:firstLineChars="200"/>
        <w:rPr>
          <w:rFonts w:cs="宋体"/>
          <w:sz w:val="24"/>
          <w:szCs w:val="24"/>
        </w:rPr>
      </w:pPr>
      <w:r>
        <w:rPr>
          <w:rFonts w:hint="eastAsia" w:cs="宋体"/>
          <w:sz w:val="24"/>
          <w:szCs w:val="24"/>
        </w:rPr>
        <w:t>5.每个包装件应有装箱单，并至少标明名称、型号规格、数量、净重和毛重、投标方（或供货商）名称和制造日期等相关内容。</w:t>
      </w:r>
    </w:p>
    <w:p>
      <w:pPr>
        <w:spacing w:line="440" w:lineRule="exact"/>
        <w:ind w:firstLine="480" w:firstLineChars="200"/>
        <w:rPr>
          <w:rFonts w:cs="宋体"/>
          <w:sz w:val="24"/>
          <w:szCs w:val="24"/>
        </w:rPr>
      </w:pPr>
      <w:r>
        <w:rPr>
          <w:rFonts w:hint="eastAsia" w:cs="宋体"/>
          <w:sz w:val="24"/>
          <w:szCs w:val="24"/>
        </w:rPr>
        <w:t>6.每个包装箱应有明显标志，并具有中文书写的合同号、装运标志、发货和到货地点名称、发货人和收货人名称、货物名称和项目号、箱号和外型尺寸等内容。</w:t>
      </w:r>
    </w:p>
    <w:p>
      <w:pPr>
        <w:spacing w:line="440" w:lineRule="exact"/>
        <w:ind w:firstLine="480" w:firstLineChars="200"/>
        <w:rPr>
          <w:rFonts w:cs="宋体"/>
          <w:sz w:val="24"/>
          <w:szCs w:val="24"/>
        </w:rPr>
      </w:pPr>
      <w:r>
        <w:rPr>
          <w:rFonts w:hint="eastAsia" w:cs="宋体"/>
          <w:sz w:val="24"/>
          <w:szCs w:val="24"/>
        </w:rPr>
        <w:t>7.应按照不同的装运要求在包装箱上标明“小心轻放”、“箭头向上”、“防潮”、“防磁”、“不准平放”等标志，以及其它适用的国标通用标志。</w:t>
      </w:r>
    </w:p>
    <w:p>
      <w:pPr>
        <w:spacing w:line="440" w:lineRule="exact"/>
        <w:ind w:firstLine="480" w:firstLineChars="200"/>
        <w:rPr>
          <w:rFonts w:cs="宋体"/>
          <w:sz w:val="24"/>
          <w:szCs w:val="24"/>
        </w:rPr>
      </w:pPr>
      <w:r>
        <w:rPr>
          <w:rFonts w:hint="eastAsia" w:cs="宋体"/>
          <w:sz w:val="24"/>
          <w:szCs w:val="24"/>
        </w:rPr>
        <w:t>8.包装箱应连续编号，不应出现重复编号。</w:t>
      </w:r>
    </w:p>
    <w:p>
      <w:pPr>
        <w:spacing w:line="440" w:lineRule="exact"/>
        <w:ind w:firstLine="480" w:firstLineChars="200"/>
        <w:rPr>
          <w:rFonts w:cs="宋体"/>
          <w:sz w:val="24"/>
          <w:szCs w:val="24"/>
        </w:rPr>
      </w:pPr>
      <w:r>
        <w:rPr>
          <w:rFonts w:hint="eastAsia" w:cs="宋体"/>
          <w:sz w:val="24"/>
          <w:szCs w:val="24"/>
        </w:rPr>
        <w:t>9.在不受到外界破坏情况下，包装应保证自交货日起一年内货物（或设备）完好无损。</w:t>
      </w:r>
    </w:p>
    <w:p>
      <w:pPr>
        <w:spacing w:line="440" w:lineRule="exact"/>
        <w:ind w:firstLine="482" w:firstLineChars="200"/>
        <w:rPr>
          <w:rFonts w:cs="宋体"/>
          <w:b/>
          <w:bCs/>
          <w:sz w:val="24"/>
          <w:szCs w:val="24"/>
        </w:rPr>
      </w:pPr>
      <w:r>
        <w:rPr>
          <w:rFonts w:hint="eastAsia" w:cs="宋体"/>
          <w:b/>
          <w:bCs/>
          <w:sz w:val="24"/>
          <w:szCs w:val="24"/>
        </w:rPr>
        <w:t>五、运输</w:t>
      </w:r>
    </w:p>
    <w:p>
      <w:pPr>
        <w:spacing w:line="440" w:lineRule="exact"/>
        <w:ind w:firstLine="480" w:firstLineChars="200"/>
        <w:rPr>
          <w:rFonts w:cs="宋体"/>
          <w:sz w:val="24"/>
          <w:szCs w:val="24"/>
        </w:rPr>
      </w:pPr>
      <w:r>
        <w:rPr>
          <w:rFonts w:hint="eastAsia" w:cs="宋体"/>
          <w:sz w:val="24"/>
          <w:szCs w:val="24"/>
        </w:rPr>
        <w:t>1.应负责将货物（或设备）运到目的地，并必须做到货物（或设备）在任何运输过程中不受损坏和遗失。</w:t>
      </w:r>
    </w:p>
    <w:p>
      <w:pPr>
        <w:spacing w:line="440" w:lineRule="exact"/>
        <w:ind w:firstLine="480" w:firstLineChars="200"/>
        <w:rPr>
          <w:rFonts w:cs="宋体"/>
          <w:sz w:val="24"/>
          <w:szCs w:val="24"/>
        </w:rPr>
      </w:pPr>
      <w:r>
        <w:rPr>
          <w:rFonts w:hint="eastAsia" w:cs="宋体"/>
          <w:sz w:val="24"/>
          <w:szCs w:val="24"/>
        </w:rPr>
        <w:t>2.同批货物（或设备）应统一包装、编号运输。</w:t>
      </w:r>
    </w:p>
    <w:p>
      <w:pPr>
        <w:spacing w:line="440" w:lineRule="exact"/>
        <w:ind w:firstLine="480" w:firstLineChars="200"/>
        <w:rPr>
          <w:rFonts w:cs="宋体"/>
          <w:sz w:val="24"/>
          <w:szCs w:val="24"/>
        </w:rPr>
      </w:pPr>
      <w:r>
        <w:rPr>
          <w:rFonts w:hint="eastAsia" w:cs="宋体"/>
          <w:sz w:val="24"/>
          <w:szCs w:val="24"/>
        </w:rPr>
        <w:t>3.一般情况下，经由铁路、公路运输的包装件尺寸和重量不应超过国家所规定的尺寸限制。特殊情况应予以说明。</w:t>
      </w:r>
    </w:p>
    <w:p>
      <w:pPr>
        <w:spacing w:line="440" w:lineRule="exact"/>
        <w:ind w:firstLine="480" w:firstLineChars="200"/>
        <w:rPr>
          <w:rFonts w:cs="宋体"/>
          <w:sz w:val="24"/>
          <w:szCs w:val="24"/>
        </w:rPr>
      </w:pPr>
      <w:r>
        <w:rPr>
          <w:rFonts w:hint="eastAsia" w:cs="宋体"/>
          <w:sz w:val="24"/>
          <w:szCs w:val="24"/>
        </w:rPr>
        <w:t>4.在每批货物（或设备）发出后，应立即通知买方；通知中应指明：合同号、货运单号、件数、重量和货物（或设备）发出日期等相关内容。</w:t>
      </w:r>
    </w:p>
    <w:p>
      <w:pPr>
        <w:spacing w:line="440" w:lineRule="exact"/>
        <w:ind w:firstLine="480" w:firstLineChars="200"/>
        <w:rPr>
          <w:rFonts w:cs="宋体"/>
          <w:sz w:val="24"/>
          <w:szCs w:val="24"/>
        </w:rPr>
      </w:pPr>
      <w:r>
        <w:rPr>
          <w:rFonts w:hint="eastAsia" w:cs="宋体"/>
          <w:sz w:val="24"/>
          <w:szCs w:val="24"/>
        </w:rPr>
        <w:t>5.货物（或设备）运抵交货地点后，应负责货物（或设备）的卸货、搬运、保管等事宜；或按照合同约定。</w:t>
      </w:r>
    </w:p>
    <w:p>
      <w:pPr>
        <w:pStyle w:val="5"/>
        <w:numPr>
          <w:ilvl w:val="2"/>
          <w:numId w:val="0"/>
        </w:numPr>
        <w:spacing w:line="500" w:lineRule="exact"/>
        <w:jc w:val="center"/>
        <w:rPr>
          <w:rFonts w:ascii="宋体" w:hAnsi="宋体" w:cs="宋体"/>
        </w:rPr>
      </w:pPr>
      <w:r>
        <w:rPr>
          <w:rFonts w:hint="eastAsia" w:ascii="宋体" w:hAnsi="宋体" w:cs="宋体"/>
        </w:rPr>
        <w:t>第三节 质保期及售后服务</w:t>
      </w:r>
    </w:p>
    <w:p>
      <w:pPr>
        <w:spacing w:line="440" w:lineRule="exact"/>
        <w:ind w:firstLine="482" w:firstLineChars="200"/>
        <w:rPr>
          <w:rFonts w:cs="宋体"/>
          <w:b/>
          <w:bCs/>
          <w:sz w:val="24"/>
          <w:szCs w:val="24"/>
        </w:rPr>
      </w:pPr>
      <w:r>
        <w:rPr>
          <w:rFonts w:hint="eastAsia" w:cs="宋体"/>
          <w:b/>
          <w:bCs/>
          <w:sz w:val="24"/>
          <w:szCs w:val="24"/>
        </w:rPr>
        <w:t>一、质保期及质保要求</w:t>
      </w:r>
    </w:p>
    <w:p>
      <w:pPr>
        <w:spacing w:line="440" w:lineRule="exact"/>
        <w:ind w:firstLine="480" w:firstLineChars="200"/>
        <w:rPr>
          <w:rFonts w:cs="宋体"/>
          <w:sz w:val="24"/>
          <w:szCs w:val="24"/>
        </w:rPr>
      </w:pPr>
      <w:r>
        <w:rPr>
          <w:rFonts w:hint="eastAsia" w:cs="宋体"/>
          <w:sz w:val="24"/>
          <w:szCs w:val="24"/>
        </w:rPr>
        <w:t>1.全部供货范围内的设备、材料、零配件和工器具等，除合同特别约定外，其质保期均自终验收签字生效之日起</w:t>
      </w:r>
      <w:r>
        <w:rPr>
          <w:rFonts w:cs="宋体"/>
          <w:sz w:val="24"/>
          <w:szCs w:val="24"/>
        </w:rPr>
        <w:t>24</w:t>
      </w:r>
      <w:r>
        <w:rPr>
          <w:rFonts w:hint="eastAsia" w:cs="宋体"/>
          <w:sz w:val="24"/>
          <w:szCs w:val="24"/>
        </w:rPr>
        <w:t>个月。</w:t>
      </w:r>
    </w:p>
    <w:p>
      <w:pPr>
        <w:spacing w:line="440" w:lineRule="exact"/>
        <w:ind w:firstLine="480" w:firstLineChars="200"/>
        <w:rPr>
          <w:rFonts w:cs="宋体"/>
          <w:sz w:val="24"/>
          <w:szCs w:val="24"/>
        </w:rPr>
      </w:pPr>
      <w:r>
        <w:rPr>
          <w:rFonts w:hint="eastAsia" w:cs="宋体"/>
          <w:sz w:val="24"/>
          <w:szCs w:val="24"/>
        </w:rPr>
        <w:t>投标货物或涉及的关键总成和零件，如果有更长时间质保期，允许更改并说明，此将有利于投标方。</w:t>
      </w:r>
    </w:p>
    <w:p>
      <w:pPr>
        <w:spacing w:line="440" w:lineRule="exact"/>
        <w:ind w:firstLine="480" w:firstLineChars="200"/>
        <w:rPr>
          <w:rFonts w:cs="宋体"/>
          <w:sz w:val="24"/>
          <w:szCs w:val="24"/>
        </w:rPr>
      </w:pPr>
      <w:r>
        <w:rPr>
          <w:rFonts w:hint="eastAsia" w:cs="宋体"/>
          <w:sz w:val="24"/>
          <w:szCs w:val="24"/>
        </w:rPr>
        <w:t>设计使用寿命短于质保期的易损件除外，但属于易损件的，应当有明确说明。</w:t>
      </w:r>
    </w:p>
    <w:p>
      <w:pPr>
        <w:spacing w:line="440" w:lineRule="exact"/>
        <w:ind w:firstLine="480" w:firstLineChars="200"/>
        <w:rPr>
          <w:rFonts w:cs="宋体"/>
          <w:sz w:val="24"/>
          <w:szCs w:val="24"/>
        </w:rPr>
      </w:pPr>
      <w:r>
        <w:rPr>
          <w:rFonts w:hint="eastAsia" w:cs="宋体"/>
          <w:sz w:val="24"/>
          <w:szCs w:val="24"/>
        </w:rPr>
        <w:t>2.质保期之内，如果货物出现设备、总成、关键零部件或者多处一般零部件的二次以上的更换或维修行为，则质保期自更换或维修行为结束、货物重新正常运行使用之日起重新计算。</w:t>
      </w:r>
    </w:p>
    <w:p>
      <w:pPr>
        <w:spacing w:line="440" w:lineRule="exact"/>
        <w:ind w:firstLine="480" w:firstLineChars="200"/>
        <w:rPr>
          <w:rFonts w:cs="宋体"/>
          <w:sz w:val="24"/>
          <w:szCs w:val="24"/>
        </w:rPr>
      </w:pPr>
      <w:r>
        <w:rPr>
          <w:rFonts w:hint="eastAsia" w:cs="宋体"/>
          <w:sz w:val="24"/>
          <w:szCs w:val="24"/>
        </w:rPr>
        <w:t>3.质保期内免费提供零部件和及时有效的服务。质保期内因货物本身缺陷造成的各种故障，卖方应负责免费维修和服务。</w:t>
      </w:r>
    </w:p>
    <w:p>
      <w:pPr>
        <w:spacing w:line="440" w:lineRule="exact"/>
        <w:ind w:firstLine="480" w:firstLineChars="200"/>
        <w:rPr>
          <w:rFonts w:cs="宋体"/>
          <w:sz w:val="24"/>
          <w:szCs w:val="24"/>
        </w:rPr>
      </w:pPr>
      <w:r>
        <w:rPr>
          <w:rFonts w:hint="eastAsia" w:cs="宋体"/>
          <w:sz w:val="24"/>
          <w:szCs w:val="24"/>
        </w:rPr>
        <w:t>4.质保期终止之日起一年内重复出现的质保期之内出现的故障，仍属质保范围而且应当免费。</w:t>
      </w:r>
    </w:p>
    <w:p>
      <w:pPr>
        <w:spacing w:line="440" w:lineRule="exact"/>
        <w:ind w:firstLine="482" w:firstLineChars="200"/>
        <w:rPr>
          <w:rFonts w:cs="宋体"/>
          <w:b/>
          <w:bCs/>
          <w:sz w:val="24"/>
          <w:szCs w:val="24"/>
        </w:rPr>
      </w:pPr>
      <w:r>
        <w:rPr>
          <w:rFonts w:hint="eastAsia" w:cs="宋体"/>
          <w:b/>
          <w:bCs/>
          <w:sz w:val="24"/>
          <w:szCs w:val="24"/>
        </w:rPr>
        <w:t>二、技术及培训服务</w:t>
      </w:r>
    </w:p>
    <w:p>
      <w:pPr>
        <w:spacing w:line="440" w:lineRule="exact"/>
        <w:ind w:firstLine="480" w:firstLineChars="200"/>
        <w:rPr>
          <w:rFonts w:cs="宋体"/>
          <w:sz w:val="24"/>
          <w:szCs w:val="24"/>
        </w:rPr>
      </w:pPr>
      <w:r>
        <w:rPr>
          <w:rFonts w:hint="eastAsia" w:cs="宋体"/>
          <w:sz w:val="24"/>
          <w:szCs w:val="24"/>
        </w:rPr>
        <w:t>1.应负责在买方货物使用现场，对技术、维修和操作人员提供免费的理论、技术和操作、维修等方面的技术指导和培训，并接受买方有关人员的技术咨询。培训工作日不少于 7 个日历日。</w:t>
      </w:r>
    </w:p>
    <w:p>
      <w:pPr>
        <w:spacing w:line="440" w:lineRule="exact"/>
        <w:ind w:firstLine="480" w:firstLineChars="200"/>
        <w:rPr>
          <w:rFonts w:cs="宋体"/>
          <w:sz w:val="24"/>
          <w:szCs w:val="24"/>
        </w:rPr>
      </w:pPr>
      <w:r>
        <w:rPr>
          <w:rFonts w:hint="eastAsia" w:cs="宋体"/>
          <w:sz w:val="24"/>
          <w:szCs w:val="24"/>
        </w:rPr>
        <w:t>2.应免费提供一定数量的培训资料。</w:t>
      </w:r>
    </w:p>
    <w:p>
      <w:pPr>
        <w:spacing w:line="440" w:lineRule="exact"/>
        <w:ind w:firstLine="480" w:firstLineChars="200"/>
        <w:rPr>
          <w:rFonts w:cs="宋体"/>
          <w:sz w:val="24"/>
          <w:szCs w:val="24"/>
        </w:rPr>
      </w:pPr>
      <w:r>
        <w:rPr>
          <w:rFonts w:hint="eastAsia" w:cs="宋体"/>
          <w:sz w:val="24"/>
          <w:szCs w:val="24"/>
        </w:rPr>
        <w:t>3.应按要求免费积极协助和提供买方以及买方所委托的工程设计单位有关人员所需要的、与货物有关的工程设计资料、技术咨询等。</w:t>
      </w:r>
    </w:p>
    <w:p>
      <w:pPr>
        <w:spacing w:line="440" w:lineRule="exact"/>
        <w:ind w:firstLine="480" w:firstLineChars="200"/>
        <w:rPr>
          <w:rFonts w:cs="宋体"/>
          <w:sz w:val="24"/>
          <w:szCs w:val="24"/>
        </w:rPr>
      </w:pPr>
      <w:r>
        <w:rPr>
          <w:rFonts w:hint="eastAsia" w:cs="宋体"/>
          <w:sz w:val="24"/>
          <w:szCs w:val="24"/>
        </w:rPr>
        <w:t>4.若卖方提供货物涉及到外购外协货物、而且该货物的技术质量等较为关键时，卖方应能保证得到配套厂家的技术支持，并免费为买方提供技术服务。</w:t>
      </w:r>
    </w:p>
    <w:p>
      <w:pPr>
        <w:spacing w:line="440" w:lineRule="exact"/>
        <w:ind w:firstLine="480" w:firstLineChars="200"/>
        <w:rPr>
          <w:rFonts w:cs="宋体"/>
          <w:sz w:val="24"/>
          <w:szCs w:val="24"/>
        </w:rPr>
      </w:pPr>
      <w:r>
        <w:rPr>
          <w:rFonts w:hint="eastAsia" w:cs="宋体"/>
          <w:sz w:val="24"/>
          <w:szCs w:val="24"/>
        </w:rPr>
        <w:t>5、负责制定对买方人员在运行、维修和试验等方面的培训计划，并有专人负责实施培训计划，负责指导买方受培训人员正确理解设计和制造意图，认识设备的特点和特性，掌握在运行、维修和使用管理中应遵守的规则等方面的综合知识。</w:t>
      </w:r>
    </w:p>
    <w:p>
      <w:pPr>
        <w:spacing w:line="440" w:lineRule="exact"/>
        <w:ind w:firstLine="482" w:firstLineChars="200"/>
        <w:rPr>
          <w:rFonts w:cs="宋体"/>
          <w:b/>
          <w:bCs/>
          <w:sz w:val="24"/>
          <w:szCs w:val="24"/>
        </w:rPr>
      </w:pPr>
      <w:r>
        <w:rPr>
          <w:rFonts w:hint="eastAsia" w:cs="宋体"/>
          <w:b/>
          <w:bCs/>
          <w:sz w:val="24"/>
          <w:szCs w:val="24"/>
        </w:rPr>
        <w:t>三、安装调试及验收服务</w:t>
      </w:r>
    </w:p>
    <w:p>
      <w:pPr>
        <w:spacing w:line="440" w:lineRule="exact"/>
        <w:ind w:firstLine="480" w:firstLineChars="200"/>
        <w:rPr>
          <w:rFonts w:cs="宋体"/>
          <w:sz w:val="24"/>
          <w:szCs w:val="24"/>
        </w:rPr>
      </w:pPr>
      <w:r>
        <w:rPr>
          <w:rFonts w:hint="eastAsia" w:cs="宋体"/>
          <w:sz w:val="24"/>
          <w:szCs w:val="24"/>
        </w:rPr>
        <w:t>1.指导安装调试或负责安装调试以及协助验收，投标方均应在投标文件中明确其收费额或免费约定，否则视同免费；安装调试及验收服务均应按照合同约定或协议、通知及时组织并完成。因卖方原因造成的延期，所发生的费用全部由卖方承担。</w:t>
      </w:r>
    </w:p>
    <w:p>
      <w:pPr>
        <w:spacing w:line="440" w:lineRule="exact"/>
        <w:ind w:firstLine="480" w:firstLineChars="200"/>
        <w:rPr>
          <w:rFonts w:cs="宋体"/>
          <w:sz w:val="24"/>
          <w:szCs w:val="24"/>
        </w:rPr>
      </w:pPr>
      <w:r>
        <w:rPr>
          <w:rFonts w:hint="eastAsia" w:cs="宋体"/>
          <w:sz w:val="24"/>
          <w:szCs w:val="24"/>
        </w:rPr>
        <w:t>2.若卖方提供的货物涉及到外购外协货物、而且该货物的技术质量等较为关键时，应保证能得到供应商的技术支持，并免费为买方提供安装使用现场的指导与培训。</w:t>
      </w:r>
    </w:p>
    <w:p>
      <w:pPr>
        <w:spacing w:line="440" w:lineRule="exact"/>
        <w:ind w:firstLine="480" w:firstLineChars="200"/>
        <w:rPr>
          <w:rFonts w:cs="宋体"/>
          <w:sz w:val="24"/>
          <w:szCs w:val="24"/>
        </w:rPr>
      </w:pPr>
      <w:r>
        <w:rPr>
          <w:rFonts w:hint="eastAsia" w:cs="宋体"/>
          <w:sz w:val="24"/>
          <w:szCs w:val="24"/>
        </w:rPr>
        <w:t>3.根据货物的要求，调试及验收可分空载和负载两个阶段进行；买方将积极协助卖方达到货物的各项技术指标和性能要求。卖方在买方现场进行的货物的安装、调试和试运行，买方有权参与，卖方应无条件向买方提供现场记录和试运行数据及报告。</w:t>
      </w:r>
    </w:p>
    <w:p>
      <w:pPr>
        <w:spacing w:line="440" w:lineRule="exact"/>
        <w:ind w:firstLine="480" w:firstLineChars="200"/>
        <w:rPr>
          <w:rFonts w:cs="宋体"/>
          <w:sz w:val="24"/>
          <w:szCs w:val="24"/>
        </w:rPr>
      </w:pPr>
      <w:r>
        <w:rPr>
          <w:rFonts w:hint="eastAsia" w:cs="宋体"/>
          <w:sz w:val="24"/>
          <w:szCs w:val="24"/>
        </w:rPr>
        <w:t>4.在卖方所提供货物需要得到买方建设项目所在地政府或行业主管部门的查验、试验、验收时，卖方应当免费完成或协助招标方完成所需要的工作、材料和服务等。协助完成的，应当在投标文件报价内容中予以说明，否则视同免费。</w:t>
      </w:r>
    </w:p>
    <w:p>
      <w:pPr>
        <w:spacing w:line="440" w:lineRule="exact"/>
        <w:ind w:firstLine="480" w:firstLineChars="200"/>
        <w:rPr>
          <w:rFonts w:cs="宋体"/>
          <w:sz w:val="24"/>
          <w:szCs w:val="24"/>
        </w:rPr>
      </w:pPr>
      <w:r>
        <w:rPr>
          <w:rFonts w:hint="eastAsia" w:cs="宋体"/>
          <w:sz w:val="24"/>
          <w:szCs w:val="24"/>
        </w:rPr>
        <w:t>5.卖方应当向买方提供货物试验、验收的有关标准、规范和方法，同时提供货物涉及并使用的软件合法性证明。</w:t>
      </w:r>
    </w:p>
    <w:p>
      <w:pPr>
        <w:spacing w:line="440" w:lineRule="exact"/>
        <w:ind w:firstLine="480" w:firstLineChars="200"/>
        <w:rPr>
          <w:rFonts w:cs="宋体"/>
          <w:sz w:val="24"/>
          <w:szCs w:val="24"/>
        </w:rPr>
      </w:pPr>
      <w:r>
        <w:rPr>
          <w:rFonts w:hint="eastAsia" w:cs="宋体"/>
          <w:sz w:val="24"/>
          <w:szCs w:val="24"/>
        </w:rPr>
        <w:t>6.服务缺陷视同货物缺陷和履约延期。</w:t>
      </w:r>
    </w:p>
    <w:p>
      <w:pPr>
        <w:spacing w:line="440" w:lineRule="exact"/>
        <w:ind w:firstLine="482" w:firstLineChars="200"/>
        <w:rPr>
          <w:rFonts w:cs="宋体"/>
          <w:b/>
          <w:bCs/>
          <w:sz w:val="24"/>
          <w:szCs w:val="24"/>
        </w:rPr>
      </w:pPr>
      <w:r>
        <w:rPr>
          <w:rFonts w:hint="eastAsia" w:cs="宋体"/>
          <w:b/>
          <w:bCs/>
          <w:sz w:val="24"/>
          <w:szCs w:val="24"/>
        </w:rPr>
        <w:t>四、售后服务</w:t>
      </w:r>
    </w:p>
    <w:p>
      <w:pPr>
        <w:spacing w:line="440" w:lineRule="exact"/>
        <w:ind w:firstLine="480" w:firstLineChars="200"/>
        <w:rPr>
          <w:rFonts w:cs="宋体"/>
          <w:sz w:val="24"/>
          <w:szCs w:val="24"/>
        </w:rPr>
      </w:pPr>
      <w:r>
        <w:rPr>
          <w:rFonts w:hint="eastAsia" w:cs="宋体"/>
          <w:sz w:val="24"/>
          <w:szCs w:val="24"/>
        </w:rPr>
        <w:t>1.卖方提供的货物涉及的所有售后服务均由卖方负责。如果发生问题并且收到通知，卖方应当在2小时内予以答复。</w:t>
      </w:r>
    </w:p>
    <w:p>
      <w:pPr>
        <w:spacing w:line="440" w:lineRule="exact"/>
        <w:ind w:firstLine="480" w:firstLineChars="200"/>
        <w:rPr>
          <w:rFonts w:cs="宋体"/>
          <w:sz w:val="24"/>
          <w:szCs w:val="24"/>
        </w:rPr>
      </w:pPr>
      <w:r>
        <w:rPr>
          <w:rFonts w:hint="eastAsia" w:cs="宋体"/>
          <w:sz w:val="24"/>
          <w:szCs w:val="24"/>
        </w:rPr>
        <w:t>2、如发现所提供的货物存在问题，需要卖方解决或配合解决时：在质保期之内，应在接到通知后 48 小时内派有关人员到达现场；在质保期之外，应在接到通知后 120小时内派有关人员到达现场。</w:t>
      </w:r>
    </w:p>
    <w:p>
      <w:pPr>
        <w:spacing w:line="440" w:lineRule="exact"/>
        <w:ind w:firstLine="480" w:firstLineChars="200"/>
        <w:rPr>
          <w:rFonts w:cs="宋体"/>
          <w:sz w:val="24"/>
          <w:szCs w:val="24"/>
        </w:rPr>
      </w:pPr>
      <w:r>
        <w:rPr>
          <w:rFonts w:hint="eastAsia" w:cs="宋体"/>
          <w:sz w:val="24"/>
          <w:szCs w:val="24"/>
        </w:rPr>
        <w:t>3.卖方派往买方使用现场的人员，应具有较高的业务素质；现场解决问题时，不得无故拖延或推迟，应为买方提供最佳的服务。</w:t>
      </w:r>
    </w:p>
    <w:p>
      <w:pPr>
        <w:spacing w:line="440" w:lineRule="exact"/>
        <w:ind w:firstLine="482" w:firstLineChars="200"/>
        <w:rPr>
          <w:rFonts w:cs="宋体"/>
          <w:b/>
          <w:bCs/>
          <w:sz w:val="24"/>
          <w:szCs w:val="24"/>
        </w:rPr>
      </w:pPr>
      <w:r>
        <w:rPr>
          <w:rFonts w:hint="eastAsia" w:cs="宋体"/>
          <w:b/>
          <w:bCs/>
          <w:sz w:val="24"/>
          <w:szCs w:val="24"/>
        </w:rPr>
        <w:t>五、其它服务</w:t>
      </w:r>
    </w:p>
    <w:p>
      <w:pPr>
        <w:spacing w:line="440" w:lineRule="exact"/>
        <w:ind w:firstLine="480" w:firstLineChars="200"/>
        <w:rPr>
          <w:rFonts w:cs="宋体"/>
          <w:sz w:val="24"/>
          <w:szCs w:val="24"/>
        </w:rPr>
      </w:pPr>
      <w:r>
        <w:rPr>
          <w:rFonts w:hint="eastAsia" w:cs="宋体"/>
          <w:sz w:val="24"/>
          <w:szCs w:val="24"/>
        </w:rPr>
        <w:t>1.若卖方所提供货物有需要进口的，卖方一般应自行、自费办理；必要时，买卖双方共同办理。</w:t>
      </w:r>
    </w:p>
    <w:p>
      <w:pPr>
        <w:spacing w:line="440" w:lineRule="exact"/>
        <w:ind w:firstLine="480" w:firstLineChars="200"/>
        <w:rPr>
          <w:rFonts w:cs="宋体"/>
          <w:sz w:val="24"/>
          <w:szCs w:val="24"/>
        </w:rPr>
      </w:pPr>
      <w:r>
        <w:rPr>
          <w:rFonts w:hint="eastAsia" w:cs="宋体"/>
          <w:sz w:val="24"/>
          <w:szCs w:val="24"/>
        </w:rPr>
        <w:t>2.除招标文件、投标文件、答疑文件、技术标书、合同等约定之外，卖方应免费负责必要的或强制性的货物的检验、试验、化验等直接费用。</w:t>
      </w:r>
    </w:p>
    <w:p>
      <w:pPr>
        <w:spacing w:line="440" w:lineRule="exact"/>
        <w:ind w:firstLine="480" w:firstLineChars="200"/>
        <w:rPr>
          <w:rFonts w:cs="宋体"/>
          <w:sz w:val="24"/>
          <w:szCs w:val="24"/>
        </w:rPr>
      </w:pPr>
      <w:r>
        <w:rPr>
          <w:rFonts w:hint="eastAsia" w:cs="宋体"/>
          <w:sz w:val="24"/>
          <w:szCs w:val="24"/>
        </w:rPr>
        <w:t>3.本章节条款所列“免费”，并非指定不可收费，而是指招标文件、投标文件、答疑文件、技术交流文件、技术标书和合同等范围之外，投标方不可另行收取的费用。</w:t>
      </w:r>
    </w:p>
    <w:p>
      <w:pPr>
        <w:widowControl/>
        <w:rPr>
          <w:rStyle w:val="182"/>
          <w:rFonts w:eastAsia="黑体"/>
          <w:b/>
        </w:rPr>
      </w:pPr>
    </w:p>
    <w:p>
      <w:pPr>
        <w:pStyle w:val="5"/>
        <w:numPr>
          <w:ilvl w:val="2"/>
          <w:numId w:val="0"/>
        </w:numPr>
        <w:spacing w:line="500" w:lineRule="exact"/>
        <w:jc w:val="center"/>
        <w:rPr>
          <w:rFonts w:ascii="宋体" w:hAnsi="宋体" w:cs="宋体"/>
        </w:rPr>
      </w:pPr>
      <w:r>
        <w:rPr>
          <w:rFonts w:hint="eastAsia" w:ascii="宋体" w:hAnsi="宋体" w:cs="宋体"/>
        </w:rPr>
        <w:t>第四节 预验收和终验收</w:t>
      </w:r>
    </w:p>
    <w:p>
      <w:pPr>
        <w:spacing w:line="440" w:lineRule="exact"/>
        <w:ind w:firstLine="482" w:firstLineChars="200"/>
        <w:rPr>
          <w:rFonts w:cs="宋体"/>
          <w:b/>
          <w:bCs/>
          <w:sz w:val="24"/>
          <w:szCs w:val="24"/>
        </w:rPr>
      </w:pPr>
      <w:r>
        <w:rPr>
          <w:rFonts w:hint="eastAsia" w:cs="宋体"/>
          <w:b/>
          <w:bCs/>
          <w:sz w:val="24"/>
          <w:szCs w:val="24"/>
        </w:rPr>
        <w:t>一、验收依据和验收标准</w:t>
      </w:r>
    </w:p>
    <w:p>
      <w:pPr>
        <w:spacing w:line="440" w:lineRule="exact"/>
        <w:ind w:firstLine="480" w:firstLineChars="200"/>
        <w:rPr>
          <w:rFonts w:cs="宋体"/>
          <w:sz w:val="24"/>
          <w:szCs w:val="24"/>
        </w:rPr>
      </w:pPr>
      <w:r>
        <w:rPr>
          <w:rFonts w:hint="eastAsia" w:cs="宋体"/>
          <w:sz w:val="24"/>
          <w:szCs w:val="24"/>
        </w:rPr>
        <w:t>1.验收标准一般以技术标书和合同规定验收。无论技术标书和合同，是否全部并准确列明验收所涉及的相关标准，均作为验收标准之一。</w:t>
      </w:r>
    </w:p>
    <w:p>
      <w:pPr>
        <w:spacing w:line="440" w:lineRule="exact"/>
        <w:ind w:firstLine="480" w:firstLineChars="200"/>
        <w:rPr>
          <w:rFonts w:cs="宋体"/>
          <w:sz w:val="24"/>
          <w:szCs w:val="24"/>
        </w:rPr>
      </w:pPr>
      <w:r>
        <w:rPr>
          <w:rFonts w:hint="eastAsia" w:cs="宋体"/>
          <w:sz w:val="24"/>
          <w:szCs w:val="24"/>
        </w:rPr>
        <w:t>2.如果验收过程中，发现招标文件、投标文件、答疑文件、技术交流文件等与技术标书、合同存在差异，原则上以涉及条款中对买方最有利条款为验收依据。</w:t>
      </w:r>
    </w:p>
    <w:p>
      <w:pPr>
        <w:spacing w:line="440" w:lineRule="exact"/>
        <w:ind w:firstLine="480" w:firstLineChars="200"/>
        <w:rPr>
          <w:rFonts w:cs="宋体"/>
          <w:sz w:val="24"/>
          <w:szCs w:val="24"/>
        </w:rPr>
      </w:pPr>
      <w:r>
        <w:rPr>
          <w:rFonts w:hint="eastAsia" w:cs="宋体"/>
          <w:sz w:val="24"/>
          <w:szCs w:val="24"/>
        </w:rPr>
        <w:t>3.1投标方提供的设备标准均应符合我国有关机械标准或用户可接受的国际机械标准；</w:t>
      </w:r>
    </w:p>
    <w:p>
      <w:pPr>
        <w:spacing w:line="440" w:lineRule="exact"/>
        <w:ind w:firstLine="480" w:firstLineChars="200"/>
        <w:rPr>
          <w:rFonts w:cs="宋体"/>
          <w:sz w:val="24"/>
          <w:szCs w:val="24"/>
        </w:rPr>
      </w:pPr>
      <w:r>
        <w:rPr>
          <w:rFonts w:hint="eastAsia" w:cs="宋体"/>
          <w:sz w:val="24"/>
          <w:szCs w:val="24"/>
        </w:rPr>
        <w:t>3.2整套设备及测试仪器、仪表的计量均采用ISO国际标准计量单位；</w:t>
      </w:r>
    </w:p>
    <w:p>
      <w:pPr>
        <w:spacing w:line="440" w:lineRule="exact"/>
        <w:ind w:firstLine="480" w:firstLineChars="200"/>
        <w:rPr>
          <w:rFonts w:cs="宋体"/>
          <w:sz w:val="24"/>
          <w:szCs w:val="24"/>
        </w:rPr>
      </w:pPr>
      <w:r>
        <w:rPr>
          <w:rFonts w:hint="eastAsia" w:cs="宋体"/>
          <w:sz w:val="24"/>
          <w:szCs w:val="24"/>
        </w:rPr>
        <w:t>3.3投标方提供的设备如参照制造商的企业标准生产，则应提供相应的企业标准。</w:t>
      </w:r>
    </w:p>
    <w:p>
      <w:pPr>
        <w:spacing w:line="440" w:lineRule="exact"/>
        <w:ind w:firstLine="482" w:firstLineChars="200"/>
        <w:rPr>
          <w:rFonts w:cs="宋体"/>
          <w:b/>
          <w:bCs/>
          <w:sz w:val="24"/>
          <w:szCs w:val="24"/>
        </w:rPr>
      </w:pPr>
      <w:r>
        <w:rPr>
          <w:rFonts w:hint="eastAsia" w:cs="宋体"/>
          <w:b/>
          <w:bCs/>
          <w:sz w:val="24"/>
          <w:szCs w:val="24"/>
        </w:rPr>
        <w:t>二、检验</w:t>
      </w:r>
    </w:p>
    <w:p>
      <w:pPr>
        <w:spacing w:line="440" w:lineRule="exact"/>
        <w:ind w:firstLine="480" w:firstLineChars="200"/>
        <w:rPr>
          <w:rFonts w:cs="宋体"/>
          <w:sz w:val="24"/>
          <w:szCs w:val="24"/>
        </w:rPr>
      </w:pPr>
      <w:r>
        <w:rPr>
          <w:rFonts w:hint="eastAsia" w:cs="宋体"/>
          <w:sz w:val="24"/>
          <w:szCs w:val="24"/>
        </w:rPr>
        <w:t>如果采购货物涉及必要的或必需的检验，投标方应当在投标文件中明确可能涉及的检验费用，并将该费用包含在投标总报价之内；不作针对性澄清或说明的，视同包含在投标总价之内。基本约定如下：</w:t>
      </w:r>
    </w:p>
    <w:p>
      <w:pPr>
        <w:spacing w:line="440" w:lineRule="exact"/>
        <w:ind w:firstLine="480" w:firstLineChars="200"/>
        <w:rPr>
          <w:rFonts w:cs="宋体"/>
          <w:sz w:val="24"/>
          <w:szCs w:val="24"/>
        </w:rPr>
      </w:pPr>
      <w:r>
        <w:rPr>
          <w:rFonts w:hint="eastAsia" w:cs="宋体"/>
          <w:sz w:val="24"/>
          <w:szCs w:val="24"/>
        </w:rPr>
        <w:t>1.国产货物的检验一般由买卖双方共同进行或按照合同要求进行。</w:t>
      </w:r>
    </w:p>
    <w:p>
      <w:pPr>
        <w:spacing w:line="440" w:lineRule="exact"/>
        <w:ind w:firstLine="480" w:firstLineChars="200"/>
        <w:rPr>
          <w:rFonts w:cs="宋体"/>
          <w:sz w:val="24"/>
          <w:szCs w:val="24"/>
        </w:rPr>
      </w:pPr>
      <w:r>
        <w:rPr>
          <w:rFonts w:hint="eastAsia" w:cs="宋体"/>
          <w:sz w:val="24"/>
          <w:szCs w:val="24"/>
        </w:rPr>
        <w:t>2.进口货物的检验，卖方需要按照下述要求进行：</w:t>
      </w:r>
    </w:p>
    <w:p>
      <w:pPr>
        <w:spacing w:line="440" w:lineRule="exact"/>
        <w:ind w:firstLine="480" w:firstLineChars="200"/>
        <w:rPr>
          <w:rFonts w:cs="宋体"/>
          <w:sz w:val="24"/>
          <w:szCs w:val="24"/>
        </w:rPr>
      </w:pPr>
      <w:r>
        <w:rPr>
          <w:rFonts w:hint="eastAsia" w:cs="宋体"/>
          <w:sz w:val="24"/>
          <w:szCs w:val="24"/>
        </w:rPr>
        <w:t>2.1  进口货物发货前，应对货物的质量、型号、规格、性能和数量/重量作精密、全面的检验，并出具证明书，证明所供货物符合合同规定。</w:t>
      </w:r>
    </w:p>
    <w:p>
      <w:pPr>
        <w:spacing w:line="440" w:lineRule="exact"/>
        <w:ind w:firstLine="480" w:firstLineChars="200"/>
        <w:rPr>
          <w:rFonts w:cs="宋体"/>
          <w:sz w:val="24"/>
          <w:szCs w:val="24"/>
        </w:rPr>
      </w:pPr>
      <w:r>
        <w:rPr>
          <w:rFonts w:hint="eastAsia" w:cs="宋体"/>
          <w:sz w:val="24"/>
          <w:szCs w:val="24"/>
        </w:rPr>
        <w:t>2.2  应依据合同规定的要求，提供买卖双方达成一致的货物的验收标准和装箱单，作为买方检验的依据。</w:t>
      </w:r>
    </w:p>
    <w:p>
      <w:pPr>
        <w:spacing w:line="440" w:lineRule="exact"/>
        <w:ind w:firstLine="480" w:firstLineChars="200"/>
        <w:rPr>
          <w:rFonts w:cs="宋体"/>
          <w:sz w:val="24"/>
          <w:szCs w:val="24"/>
        </w:rPr>
      </w:pPr>
      <w:r>
        <w:rPr>
          <w:rFonts w:hint="eastAsia" w:cs="宋体"/>
          <w:sz w:val="24"/>
          <w:szCs w:val="24"/>
        </w:rPr>
        <w:t>2.3  进口货物到达目的地后，买方有权申请中国商品检验检疫局进行检验，如发现货物的品质及规格与合同或发票不符，除买方的责任外，买方有权在货物到达卸货目的地后180个日历日内，根据中国商品检验检疫局出具的证明书向卖方提出索赔，因索赔所发生的一切费用(包括检验检疫费等)均由卖方承担。</w:t>
      </w:r>
    </w:p>
    <w:p>
      <w:pPr>
        <w:spacing w:line="440" w:lineRule="exact"/>
        <w:ind w:firstLine="482" w:firstLineChars="200"/>
        <w:rPr>
          <w:rFonts w:cs="宋体"/>
          <w:b/>
          <w:bCs/>
          <w:sz w:val="24"/>
          <w:szCs w:val="24"/>
        </w:rPr>
      </w:pPr>
      <w:r>
        <w:rPr>
          <w:rFonts w:hint="eastAsia" w:cs="宋体"/>
          <w:b/>
          <w:bCs/>
          <w:sz w:val="24"/>
          <w:szCs w:val="24"/>
        </w:rPr>
        <w:t>三、验收基本条件</w:t>
      </w:r>
    </w:p>
    <w:p>
      <w:pPr>
        <w:spacing w:line="440" w:lineRule="exact"/>
        <w:ind w:firstLine="480" w:firstLineChars="200"/>
        <w:rPr>
          <w:rFonts w:cs="宋体"/>
          <w:sz w:val="24"/>
          <w:szCs w:val="24"/>
        </w:rPr>
      </w:pPr>
      <w:r>
        <w:rPr>
          <w:rFonts w:hint="eastAsia" w:cs="宋体"/>
          <w:sz w:val="24"/>
          <w:szCs w:val="24"/>
        </w:rPr>
        <w:t>验收一般分预验收和终验收两部分。预验收在设备到达招标方生产地安装调试完毕，具备试生产条件后进行预验收：根据技术标书和试生产情况提出整改意见，以及完成资料验收工作。但是所有的项目，包括不能预验收的项目和预验收通过的项目都在终验收时重新检验，最终只以终验收为准。投标方保证其提供的设备是全新的、未使用过的、采用最新设计和符合要求材料制造的，并在各个方面符合技术标书规定的质量、规格和性能。投标方保证所供设备经过其正确安装、调试后在整个系统运转应达到本技术标书规定的要求。</w:t>
      </w:r>
    </w:p>
    <w:p>
      <w:pPr>
        <w:spacing w:line="440" w:lineRule="exact"/>
        <w:ind w:firstLine="480" w:firstLineChars="200"/>
        <w:rPr>
          <w:rFonts w:cs="宋体"/>
          <w:sz w:val="24"/>
          <w:szCs w:val="24"/>
        </w:rPr>
      </w:pPr>
      <w:r>
        <w:rPr>
          <w:rFonts w:hint="eastAsia" w:cs="宋体"/>
          <w:sz w:val="24"/>
          <w:szCs w:val="24"/>
        </w:rPr>
        <w:t>该项目为交钥匙工程，投标方根据技术要求，提供符合招标方工艺要求所需的设备明细并负全责，保证现场安装调试时能够正常使用并对招标方人员进行培训，对售后服务全面负责，确保最终能满足总装现场的调试要求并能配合生产出合格产品，可靠的进行批量生产并满足生产节拍（3分钟），达到验收要求。</w:t>
      </w:r>
    </w:p>
    <w:p>
      <w:pPr>
        <w:spacing w:line="440" w:lineRule="exact"/>
        <w:ind w:firstLine="480" w:firstLineChars="200"/>
        <w:rPr>
          <w:rFonts w:cs="宋体"/>
          <w:sz w:val="24"/>
          <w:szCs w:val="24"/>
        </w:rPr>
      </w:pPr>
      <w:r>
        <w:rPr>
          <w:rFonts w:hint="eastAsia" w:cs="宋体"/>
          <w:sz w:val="24"/>
          <w:szCs w:val="24"/>
        </w:rPr>
        <w:t>买卖双方按照合同约定执行了合同，同时货物完成了试运行并经检验合格，则具备验收条件。</w:t>
      </w:r>
    </w:p>
    <w:p>
      <w:pPr>
        <w:spacing w:line="440" w:lineRule="exact"/>
        <w:ind w:firstLine="482" w:firstLineChars="200"/>
        <w:rPr>
          <w:rFonts w:cs="宋体"/>
          <w:b/>
          <w:bCs/>
          <w:sz w:val="24"/>
          <w:szCs w:val="24"/>
        </w:rPr>
      </w:pPr>
      <w:r>
        <w:rPr>
          <w:rFonts w:hint="eastAsia" w:cs="宋体"/>
          <w:b/>
          <w:bCs/>
          <w:sz w:val="24"/>
          <w:szCs w:val="24"/>
        </w:rPr>
        <w:t>1.预验收一般条件</w:t>
      </w:r>
    </w:p>
    <w:p>
      <w:pPr>
        <w:spacing w:line="440" w:lineRule="exact"/>
        <w:ind w:firstLine="480" w:firstLineChars="200"/>
        <w:rPr>
          <w:rFonts w:cs="宋体"/>
          <w:sz w:val="24"/>
          <w:szCs w:val="24"/>
        </w:rPr>
      </w:pPr>
      <w:r>
        <w:rPr>
          <w:rFonts w:hint="eastAsia" w:cs="宋体"/>
          <w:sz w:val="24"/>
          <w:szCs w:val="24"/>
        </w:rPr>
        <w:t>1.1  卖方已经按照“供货范围”要求提供了预验收资料，并且资料齐全、完整和有效。</w:t>
      </w:r>
    </w:p>
    <w:p>
      <w:pPr>
        <w:spacing w:line="440" w:lineRule="exact"/>
        <w:ind w:firstLine="480" w:firstLineChars="200"/>
        <w:rPr>
          <w:rFonts w:cs="宋体"/>
          <w:sz w:val="24"/>
          <w:szCs w:val="24"/>
        </w:rPr>
      </w:pPr>
      <w:r>
        <w:rPr>
          <w:rFonts w:hint="eastAsia" w:cs="宋体"/>
          <w:sz w:val="24"/>
          <w:szCs w:val="24"/>
        </w:rPr>
        <w:t>1.2  货物应运行稳定、可靠、安全，无非正常变形，非正常振动，无异常声音；无漏水、漏液、漏气（汽）、漏电等现象。运动的零部件（如链条、联轴器、离合器、主轴、工作台等）动作平稳、灵活运动准确。</w:t>
      </w:r>
    </w:p>
    <w:p>
      <w:pPr>
        <w:spacing w:line="440" w:lineRule="exact"/>
        <w:ind w:firstLine="480" w:firstLineChars="200"/>
        <w:rPr>
          <w:rFonts w:cs="宋体"/>
          <w:sz w:val="24"/>
          <w:szCs w:val="24"/>
        </w:rPr>
      </w:pPr>
      <w:r>
        <w:rPr>
          <w:rFonts w:hint="eastAsia" w:cs="宋体"/>
          <w:sz w:val="24"/>
          <w:szCs w:val="24"/>
        </w:rPr>
        <w:t>1.3  货物应完整且所有的零部件应该安装牢固，外观无损伤，所有的焊缝饱满、无残渣等缺陷。</w:t>
      </w:r>
    </w:p>
    <w:p>
      <w:pPr>
        <w:spacing w:line="440" w:lineRule="exact"/>
        <w:ind w:firstLine="480" w:firstLineChars="200"/>
        <w:rPr>
          <w:rFonts w:cs="宋体"/>
          <w:sz w:val="24"/>
          <w:szCs w:val="24"/>
        </w:rPr>
      </w:pPr>
      <w:r>
        <w:rPr>
          <w:rFonts w:hint="eastAsia" w:cs="宋体"/>
          <w:sz w:val="24"/>
          <w:szCs w:val="24"/>
        </w:rPr>
        <w:t>1.4  一般情况下，所有的管路和线缆等，接头应完全正确、可靠地联接；应排列有序（正确、牢固、整齐），有必要的防护，无皱褶、收缩和裂缝等不良现象。</w:t>
      </w:r>
    </w:p>
    <w:p>
      <w:pPr>
        <w:spacing w:line="440" w:lineRule="exact"/>
        <w:ind w:firstLine="480" w:firstLineChars="200"/>
        <w:rPr>
          <w:rFonts w:cs="宋体"/>
          <w:sz w:val="24"/>
          <w:szCs w:val="24"/>
        </w:rPr>
      </w:pPr>
      <w:r>
        <w:rPr>
          <w:rFonts w:hint="eastAsia" w:cs="宋体"/>
          <w:sz w:val="24"/>
          <w:szCs w:val="24"/>
        </w:rPr>
        <w:t>1.5  货物的润滑系统工作正常、可靠，润滑点易于到达。</w:t>
      </w:r>
    </w:p>
    <w:p>
      <w:pPr>
        <w:spacing w:line="440" w:lineRule="exact"/>
        <w:ind w:firstLine="480" w:firstLineChars="200"/>
        <w:rPr>
          <w:rFonts w:cs="宋体"/>
          <w:sz w:val="24"/>
          <w:szCs w:val="24"/>
        </w:rPr>
      </w:pPr>
      <w:r>
        <w:rPr>
          <w:rFonts w:hint="eastAsia" w:cs="宋体"/>
          <w:sz w:val="24"/>
          <w:szCs w:val="24"/>
        </w:rPr>
        <w:t>1.6  使用的压力容器、电气等应具备合格证（如果有压力容器）。</w:t>
      </w:r>
    </w:p>
    <w:p>
      <w:pPr>
        <w:spacing w:line="440" w:lineRule="exact"/>
        <w:ind w:firstLine="480" w:firstLineChars="200"/>
        <w:rPr>
          <w:rFonts w:cs="宋体"/>
          <w:sz w:val="24"/>
          <w:szCs w:val="24"/>
        </w:rPr>
      </w:pPr>
      <w:r>
        <w:rPr>
          <w:rFonts w:hint="eastAsia" w:cs="宋体"/>
          <w:sz w:val="24"/>
          <w:szCs w:val="24"/>
        </w:rPr>
        <w:t>1.7  货物的油漆质量应饱满、有光泽，无掉漆、无色差、无“桔皮”等不良现象（特殊标志除外）。</w:t>
      </w:r>
    </w:p>
    <w:p>
      <w:pPr>
        <w:spacing w:line="440" w:lineRule="exact"/>
        <w:ind w:firstLine="480" w:firstLineChars="200"/>
        <w:rPr>
          <w:rFonts w:cs="宋体"/>
          <w:sz w:val="24"/>
          <w:szCs w:val="24"/>
        </w:rPr>
      </w:pPr>
      <w:r>
        <w:rPr>
          <w:rFonts w:hint="eastAsia" w:cs="宋体"/>
          <w:sz w:val="24"/>
          <w:szCs w:val="24"/>
        </w:rPr>
        <w:t>1.8  货物标牌完整、清晰、明确。</w:t>
      </w:r>
    </w:p>
    <w:p>
      <w:pPr>
        <w:spacing w:line="440" w:lineRule="exact"/>
        <w:ind w:firstLine="480" w:firstLineChars="200"/>
        <w:rPr>
          <w:rFonts w:cs="宋体"/>
          <w:sz w:val="24"/>
          <w:szCs w:val="24"/>
        </w:rPr>
      </w:pPr>
      <w:r>
        <w:rPr>
          <w:rFonts w:hint="eastAsia" w:cs="宋体"/>
          <w:sz w:val="24"/>
          <w:szCs w:val="24"/>
        </w:rPr>
        <w:t>1.9  货物的安全要求符合中国最新的相关法律、法规、标准和规范以及合同要求。</w:t>
      </w:r>
    </w:p>
    <w:p>
      <w:pPr>
        <w:spacing w:line="440" w:lineRule="exact"/>
        <w:ind w:firstLine="480" w:firstLineChars="200"/>
        <w:rPr>
          <w:rFonts w:cs="宋体"/>
          <w:sz w:val="24"/>
          <w:szCs w:val="24"/>
        </w:rPr>
      </w:pPr>
      <w:r>
        <w:rPr>
          <w:rFonts w:hint="eastAsia" w:cs="宋体"/>
          <w:sz w:val="24"/>
          <w:szCs w:val="24"/>
        </w:rPr>
        <w:t>1.10 在设备制造完成前，投标方应提前两周通知招标方，由招标方派专员对投标方设备进行预验收。</w:t>
      </w:r>
    </w:p>
    <w:p>
      <w:pPr>
        <w:spacing w:line="440" w:lineRule="exact"/>
        <w:ind w:firstLine="482" w:firstLineChars="200"/>
        <w:rPr>
          <w:rFonts w:cs="宋体"/>
          <w:b/>
          <w:bCs/>
          <w:sz w:val="24"/>
          <w:szCs w:val="24"/>
        </w:rPr>
      </w:pPr>
      <w:r>
        <w:rPr>
          <w:rFonts w:hint="eastAsia" w:cs="宋体"/>
          <w:b/>
          <w:bCs/>
          <w:sz w:val="24"/>
          <w:szCs w:val="24"/>
        </w:rPr>
        <w:t>2.终验收一般条件</w:t>
      </w:r>
    </w:p>
    <w:p>
      <w:pPr>
        <w:spacing w:line="440" w:lineRule="exact"/>
        <w:ind w:firstLine="480" w:firstLineChars="200"/>
        <w:rPr>
          <w:rFonts w:cs="宋体"/>
          <w:sz w:val="24"/>
          <w:szCs w:val="24"/>
        </w:rPr>
      </w:pPr>
      <w:r>
        <w:rPr>
          <w:rFonts w:hint="eastAsia" w:cs="宋体"/>
          <w:sz w:val="24"/>
          <w:szCs w:val="24"/>
        </w:rPr>
        <w:t>2.1  经过预验收而且没有出现新的质量问题，或者满足预验收条款。</w:t>
      </w:r>
    </w:p>
    <w:p>
      <w:pPr>
        <w:spacing w:line="440" w:lineRule="exact"/>
        <w:ind w:firstLine="480" w:firstLineChars="200"/>
        <w:rPr>
          <w:rFonts w:cs="宋体"/>
          <w:sz w:val="24"/>
          <w:szCs w:val="24"/>
        </w:rPr>
      </w:pPr>
      <w:r>
        <w:rPr>
          <w:rFonts w:hint="eastAsia" w:cs="宋体"/>
          <w:sz w:val="24"/>
          <w:szCs w:val="24"/>
        </w:rPr>
        <w:t>2.2  货物安装调试完毕，并至少经过了验收要求的负荷试运行。</w:t>
      </w:r>
    </w:p>
    <w:p>
      <w:pPr>
        <w:spacing w:line="440" w:lineRule="exact"/>
        <w:ind w:firstLine="480" w:firstLineChars="200"/>
        <w:rPr>
          <w:rFonts w:cs="宋体"/>
          <w:sz w:val="24"/>
          <w:szCs w:val="24"/>
        </w:rPr>
      </w:pPr>
      <w:r>
        <w:rPr>
          <w:rFonts w:hint="eastAsia" w:cs="宋体"/>
          <w:sz w:val="24"/>
          <w:szCs w:val="24"/>
        </w:rPr>
        <w:t>2.3  货物正常运行时，噪声等环境影响因素满足国家和当地环保主管部门规定，安全措施落实、有效。</w:t>
      </w:r>
    </w:p>
    <w:p>
      <w:pPr>
        <w:spacing w:line="440" w:lineRule="exact"/>
        <w:ind w:firstLine="480" w:firstLineChars="200"/>
        <w:rPr>
          <w:rFonts w:cs="宋体"/>
          <w:sz w:val="24"/>
          <w:szCs w:val="24"/>
        </w:rPr>
      </w:pPr>
      <w:r>
        <w:rPr>
          <w:rFonts w:hint="eastAsia" w:cs="宋体"/>
          <w:sz w:val="24"/>
          <w:szCs w:val="24"/>
        </w:rPr>
        <w:t>2.4  计量仪器、仪表配套合理，采用中国的法定计量单位，计量准确、灵敏可靠。保证设计指标和仪器说明书的参数的实现。</w:t>
      </w:r>
    </w:p>
    <w:p>
      <w:pPr>
        <w:spacing w:line="440" w:lineRule="exact"/>
        <w:ind w:firstLine="480" w:firstLineChars="200"/>
        <w:rPr>
          <w:rFonts w:cs="宋体"/>
          <w:sz w:val="24"/>
          <w:szCs w:val="24"/>
        </w:rPr>
      </w:pPr>
      <w:r>
        <w:rPr>
          <w:rFonts w:hint="eastAsia" w:cs="宋体"/>
          <w:sz w:val="24"/>
          <w:szCs w:val="24"/>
        </w:rPr>
        <w:t>2.5  试运行期间或之后无维修、调整等行为（特殊情况除外）。</w:t>
      </w:r>
    </w:p>
    <w:p>
      <w:pPr>
        <w:spacing w:line="440" w:lineRule="exact"/>
        <w:ind w:firstLine="480" w:firstLineChars="200"/>
        <w:rPr>
          <w:rFonts w:cs="宋体"/>
          <w:sz w:val="24"/>
          <w:szCs w:val="24"/>
        </w:rPr>
      </w:pPr>
      <w:r>
        <w:rPr>
          <w:rFonts w:hint="eastAsia" w:cs="宋体"/>
          <w:sz w:val="24"/>
          <w:szCs w:val="24"/>
        </w:rPr>
        <w:t>2.6  货物质量、技术性能等，达到签定的技术标书和合同规定的终验收标准。</w:t>
      </w:r>
    </w:p>
    <w:p>
      <w:pPr>
        <w:spacing w:line="440" w:lineRule="exact"/>
        <w:ind w:firstLine="482" w:firstLineChars="200"/>
        <w:rPr>
          <w:rFonts w:cs="宋体"/>
          <w:b/>
          <w:bCs/>
          <w:sz w:val="24"/>
          <w:szCs w:val="24"/>
        </w:rPr>
      </w:pPr>
      <w:r>
        <w:rPr>
          <w:rFonts w:hint="eastAsia" w:cs="宋体"/>
          <w:b/>
          <w:bCs/>
          <w:sz w:val="24"/>
          <w:szCs w:val="24"/>
        </w:rPr>
        <w:t>3.终验收基本要求</w:t>
      </w:r>
    </w:p>
    <w:p>
      <w:pPr>
        <w:spacing w:line="440" w:lineRule="exact"/>
        <w:ind w:firstLine="480" w:firstLineChars="200"/>
        <w:rPr>
          <w:rFonts w:cs="宋体"/>
          <w:sz w:val="24"/>
          <w:szCs w:val="24"/>
        </w:rPr>
      </w:pPr>
      <w:r>
        <w:rPr>
          <w:rFonts w:hint="eastAsia" w:cs="宋体"/>
          <w:sz w:val="24"/>
          <w:szCs w:val="24"/>
        </w:rPr>
        <w:t>3.1  货物允许情况下，一般先连续空运转8小时，然后再进行负荷运行（无需进行空载运行的除外）。</w:t>
      </w:r>
    </w:p>
    <w:p>
      <w:pPr>
        <w:spacing w:line="440" w:lineRule="exact"/>
        <w:ind w:firstLine="480" w:firstLineChars="200"/>
        <w:rPr>
          <w:rFonts w:cs="宋体"/>
          <w:sz w:val="24"/>
          <w:szCs w:val="24"/>
        </w:rPr>
      </w:pPr>
      <w:r>
        <w:rPr>
          <w:rFonts w:hint="eastAsia" w:cs="宋体"/>
          <w:sz w:val="24"/>
          <w:szCs w:val="24"/>
        </w:rPr>
        <w:t>3.2  负荷运行时，货物应连续运行5天，每天连续10 小时或长时间连续运行40小时。</w:t>
      </w:r>
    </w:p>
    <w:p>
      <w:pPr>
        <w:spacing w:line="440" w:lineRule="exact"/>
        <w:ind w:firstLine="480" w:firstLineChars="200"/>
        <w:rPr>
          <w:rFonts w:cs="宋体"/>
          <w:sz w:val="24"/>
          <w:szCs w:val="24"/>
        </w:rPr>
      </w:pPr>
      <w:r>
        <w:rPr>
          <w:rFonts w:hint="eastAsia" w:cs="宋体"/>
          <w:sz w:val="24"/>
          <w:szCs w:val="24"/>
        </w:rPr>
        <w:t>3.3  出现下列问题之一，视作验收失败：</w:t>
      </w:r>
    </w:p>
    <w:p>
      <w:pPr>
        <w:spacing w:line="440" w:lineRule="exact"/>
        <w:ind w:firstLine="480" w:firstLineChars="200"/>
        <w:rPr>
          <w:rFonts w:cs="宋体"/>
          <w:sz w:val="24"/>
          <w:szCs w:val="24"/>
        </w:rPr>
      </w:pPr>
      <w:r>
        <w:rPr>
          <w:rFonts w:hint="eastAsia" w:cs="宋体"/>
          <w:sz w:val="24"/>
          <w:szCs w:val="24"/>
        </w:rPr>
        <w:t>3.3.1  在整个验收过程中发生关键零部件损坏或重大故障；</w:t>
      </w:r>
    </w:p>
    <w:p>
      <w:pPr>
        <w:spacing w:line="440" w:lineRule="exact"/>
        <w:ind w:firstLine="480" w:firstLineChars="200"/>
        <w:rPr>
          <w:rFonts w:cs="宋体"/>
          <w:sz w:val="24"/>
          <w:szCs w:val="24"/>
        </w:rPr>
      </w:pPr>
      <w:r>
        <w:rPr>
          <w:rFonts w:hint="eastAsia" w:cs="宋体"/>
          <w:sz w:val="24"/>
          <w:szCs w:val="24"/>
        </w:rPr>
        <w:t>3.3.2  一般性故障超过 2 次；</w:t>
      </w:r>
    </w:p>
    <w:p>
      <w:pPr>
        <w:spacing w:line="440" w:lineRule="exact"/>
        <w:ind w:firstLine="480" w:firstLineChars="200"/>
        <w:rPr>
          <w:rFonts w:cs="宋体"/>
          <w:sz w:val="24"/>
          <w:szCs w:val="24"/>
        </w:rPr>
      </w:pPr>
      <w:r>
        <w:rPr>
          <w:rFonts w:hint="eastAsia" w:cs="宋体"/>
          <w:sz w:val="24"/>
          <w:szCs w:val="24"/>
        </w:rPr>
        <w:t>3.3.3  所有出现的维修调整，每次时间均不超过90分钟；所有维修调整时间的总和不超过总运行时间的5 %；</w:t>
      </w:r>
    </w:p>
    <w:p>
      <w:pPr>
        <w:spacing w:line="440" w:lineRule="exact"/>
        <w:ind w:firstLine="480" w:firstLineChars="200"/>
        <w:rPr>
          <w:rFonts w:cs="宋体"/>
          <w:sz w:val="24"/>
          <w:szCs w:val="24"/>
        </w:rPr>
      </w:pPr>
      <w:r>
        <w:rPr>
          <w:rFonts w:hint="eastAsia" w:cs="宋体"/>
          <w:sz w:val="24"/>
          <w:szCs w:val="24"/>
        </w:rPr>
        <w:t>3.3.4  更换的零部件货值不超过总货值的3%。</w:t>
      </w:r>
    </w:p>
    <w:p>
      <w:pPr>
        <w:spacing w:line="440" w:lineRule="exact"/>
        <w:ind w:firstLine="480" w:firstLineChars="200"/>
        <w:rPr>
          <w:rFonts w:cs="宋体"/>
          <w:sz w:val="24"/>
          <w:szCs w:val="24"/>
        </w:rPr>
      </w:pPr>
      <w:r>
        <w:rPr>
          <w:rFonts w:hint="eastAsia" w:cs="宋体"/>
          <w:sz w:val="24"/>
          <w:szCs w:val="24"/>
        </w:rPr>
        <w:t>3.4  累计负载运行实际性能（或生产率）达到合同规定；</w:t>
      </w:r>
    </w:p>
    <w:p>
      <w:pPr>
        <w:spacing w:line="440" w:lineRule="exact"/>
        <w:ind w:firstLine="480" w:firstLineChars="200"/>
        <w:rPr>
          <w:rFonts w:cs="宋体"/>
          <w:sz w:val="24"/>
          <w:szCs w:val="24"/>
        </w:rPr>
      </w:pPr>
      <w:r>
        <w:rPr>
          <w:rFonts w:hint="eastAsia" w:cs="宋体"/>
          <w:sz w:val="24"/>
          <w:szCs w:val="24"/>
        </w:rPr>
        <w:t>3.5  终验收原则上要求一次完成。若一次验收不成功，最多允许两次；如果出现第三次验收失败，重新作价或退货；</w:t>
      </w:r>
    </w:p>
    <w:p>
      <w:pPr>
        <w:spacing w:line="440" w:lineRule="exact"/>
        <w:ind w:firstLine="480" w:firstLineChars="200"/>
        <w:rPr>
          <w:rFonts w:cs="宋体"/>
          <w:sz w:val="24"/>
          <w:szCs w:val="24"/>
        </w:rPr>
      </w:pPr>
      <w:r>
        <w:rPr>
          <w:rFonts w:hint="eastAsia" w:cs="宋体"/>
          <w:sz w:val="24"/>
          <w:szCs w:val="24"/>
        </w:rPr>
        <w:t>3.6  终验收通过后买卖双方共同签署终验收报告，并移交、核对全部供货范围内物品。</w:t>
      </w:r>
    </w:p>
    <w:p>
      <w:pPr>
        <w:pStyle w:val="5"/>
        <w:numPr>
          <w:ilvl w:val="2"/>
          <w:numId w:val="0"/>
        </w:numPr>
        <w:spacing w:line="500" w:lineRule="exact"/>
        <w:jc w:val="center"/>
        <w:rPr>
          <w:rFonts w:ascii="宋体" w:hAnsi="宋体" w:cs="宋体"/>
        </w:rPr>
      </w:pPr>
      <w:r>
        <w:rPr>
          <w:rFonts w:hint="eastAsia" w:ascii="宋体" w:hAnsi="宋体" w:cs="宋体"/>
        </w:rPr>
        <w:t>第五节 投标技术文件一般要求</w:t>
      </w:r>
    </w:p>
    <w:p>
      <w:pPr>
        <w:spacing w:line="440" w:lineRule="exact"/>
        <w:ind w:firstLine="482" w:firstLineChars="200"/>
        <w:rPr>
          <w:rFonts w:cs="宋体"/>
          <w:b/>
          <w:bCs/>
          <w:sz w:val="24"/>
          <w:szCs w:val="24"/>
        </w:rPr>
      </w:pPr>
      <w:r>
        <w:rPr>
          <w:rFonts w:hint="eastAsia" w:cs="宋体"/>
          <w:b/>
          <w:bCs/>
          <w:sz w:val="24"/>
          <w:szCs w:val="24"/>
        </w:rPr>
        <w:t>一、技术文件一般内容要求</w:t>
      </w:r>
    </w:p>
    <w:p>
      <w:pPr>
        <w:spacing w:line="440" w:lineRule="exact"/>
        <w:ind w:firstLine="480" w:firstLineChars="200"/>
        <w:rPr>
          <w:rFonts w:cs="宋体"/>
          <w:sz w:val="24"/>
          <w:szCs w:val="24"/>
        </w:rPr>
      </w:pPr>
      <w:r>
        <w:rPr>
          <w:rFonts w:hint="eastAsia" w:cs="宋体"/>
          <w:sz w:val="24"/>
          <w:szCs w:val="24"/>
        </w:rPr>
        <w:t>1.投标方应认真阅读招标文件和本技术标书，并按要求编写投标技术文件。</w:t>
      </w:r>
    </w:p>
    <w:p>
      <w:pPr>
        <w:spacing w:line="440" w:lineRule="exact"/>
        <w:ind w:firstLine="480" w:firstLineChars="200"/>
        <w:rPr>
          <w:rFonts w:cs="宋体"/>
          <w:sz w:val="24"/>
          <w:szCs w:val="24"/>
        </w:rPr>
      </w:pPr>
      <w:r>
        <w:rPr>
          <w:rFonts w:hint="eastAsia" w:cs="宋体"/>
          <w:sz w:val="24"/>
          <w:szCs w:val="24"/>
        </w:rPr>
        <w:t>2.投标技术文件至少应对投标货物的功能用途、技术性能、质量标准、技术参数等作出详细说明。</w:t>
      </w:r>
    </w:p>
    <w:p>
      <w:pPr>
        <w:spacing w:line="440" w:lineRule="exact"/>
        <w:ind w:firstLine="480" w:firstLineChars="200"/>
        <w:rPr>
          <w:rFonts w:cs="宋体"/>
          <w:sz w:val="24"/>
          <w:szCs w:val="24"/>
        </w:rPr>
      </w:pPr>
      <w:r>
        <w:rPr>
          <w:rFonts w:hint="eastAsia" w:cs="宋体"/>
          <w:sz w:val="24"/>
          <w:szCs w:val="24"/>
        </w:rPr>
        <w:t>3.投标技术文件至少应根据投标货物的关键设备、总成、零部件或系统作出满足或优于招标文件要求的详细说明。</w:t>
      </w:r>
    </w:p>
    <w:p>
      <w:pPr>
        <w:spacing w:line="440" w:lineRule="exact"/>
        <w:ind w:firstLine="480" w:firstLineChars="200"/>
        <w:rPr>
          <w:rFonts w:cs="宋体"/>
          <w:sz w:val="24"/>
          <w:szCs w:val="24"/>
        </w:rPr>
      </w:pPr>
      <w:r>
        <w:rPr>
          <w:rFonts w:hint="eastAsia" w:cs="宋体"/>
          <w:sz w:val="24"/>
          <w:szCs w:val="24"/>
        </w:rPr>
        <w:t>4.投标技术文件至少应按照招标文件要求（或投标方建议）列明备品备件、易损件和专用耗材明细。</w:t>
      </w:r>
    </w:p>
    <w:p>
      <w:pPr>
        <w:spacing w:line="440" w:lineRule="exact"/>
        <w:ind w:firstLine="480" w:firstLineChars="200"/>
        <w:rPr>
          <w:rFonts w:cs="宋体"/>
          <w:sz w:val="24"/>
          <w:szCs w:val="24"/>
        </w:rPr>
      </w:pPr>
      <w:r>
        <w:rPr>
          <w:rFonts w:hint="eastAsia" w:cs="宋体"/>
          <w:sz w:val="24"/>
          <w:szCs w:val="24"/>
        </w:rPr>
        <w:t>5.投标方应当而且必须分别说明所列备品备件、易损件和专用耗材的使用寿命（以有效工作小时数说明）。</w:t>
      </w:r>
    </w:p>
    <w:p>
      <w:pPr>
        <w:spacing w:line="440" w:lineRule="exact"/>
        <w:ind w:firstLine="480" w:firstLineChars="200"/>
        <w:rPr>
          <w:rFonts w:cs="宋体"/>
          <w:sz w:val="24"/>
          <w:szCs w:val="24"/>
        </w:rPr>
      </w:pPr>
      <w:r>
        <w:rPr>
          <w:rFonts w:hint="eastAsia" w:cs="宋体"/>
          <w:sz w:val="24"/>
          <w:szCs w:val="24"/>
        </w:rPr>
        <w:t>6.投标的货物，应当根据其配置和备品备件、易损件、专用耗材情况，尽可能详细且分类填入下表：</w:t>
      </w:r>
    </w:p>
    <w:p>
      <w:pPr>
        <w:spacing w:line="440" w:lineRule="exact"/>
        <w:ind w:firstLine="480" w:firstLineChars="200"/>
        <w:rPr>
          <w:rFonts w:cs="宋体"/>
          <w:sz w:val="24"/>
          <w:szCs w:val="24"/>
        </w:rPr>
      </w:pPr>
      <w:r>
        <w:rPr>
          <w:rFonts w:hint="eastAsia" w:cs="宋体"/>
          <w:sz w:val="24"/>
          <w:szCs w:val="24"/>
        </w:rPr>
        <w:t>6.1投标货物配置一览表：</w:t>
      </w:r>
    </w:p>
    <w:p>
      <w:pPr>
        <w:spacing w:line="440" w:lineRule="exact"/>
        <w:ind w:firstLine="480" w:firstLineChars="200"/>
        <w:rPr>
          <w:rFonts w:cs="宋体"/>
          <w:sz w:val="24"/>
          <w:szCs w:val="24"/>
        </w:rPr>
      </w:pPr>
      <w:r>
        <w:rPr>
          <w:rFonts w:hint="eastAsia" w:cs="宋体"/>
          <w:sz w:val="24"/>
          <w:szCs w:val="24"/>
        </w:rPr>
        <w:t>投标货物配置一览表单位：元</w:t>
      </w:r>
    </w:p>
    <w:tbl>
      <w:tblPr>
        <w:tblStyle w:val="77"/>
        <w:tblW w:w="96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560"/>
        <w:gridCol w:w="1236"/>
        <w:gridCol w:w="720"/>
        <w:gridCol w:w="720"/>
        <w:gridCol w:w="720"/>
        <w:gridCol w:w="720"/>
        <w:gridCol w:w="3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0" w:type="dxa"/>
          </w:tcPr>
          <w:p>
            <w:pPr>
              <w:widowControl/>
              <w:snapToGrid w:val="0"/>
              <w:jc w:val="center"/>
              <w:rPr>
                <w:rStyle w:val="182"/>
                <w:szCs w:val="24"/>
              </w:rPr>
            </w:pPr>
            <w:r>
              <w:rPr>
                <w:rStyle w:val="182"/>
                <w:rFonts w:hint="eastAsia"/>
                <w:szCs w:val="24"/>
              </w:rPr>
              <w:t>序号</w:t>
            </w:r>
          </w:p>
        </w:tc>
        <w:tc>
          <w:tcPr>
            <w:tcW w:w="1560" w:type="dxa"/>
          </w:tcPr>
          <w:p>
            <w:pPr>
              <w:widowControl/>
              <w:snapToGrid w:val="0"/>
              <w:jc w:val="center"/>
              <w:rPr>
                <w:rStyle w:val="182"/>
                <w:szCs w:val="24"/>
              </w:rPr>
            </w:pPr>
            <w:r>
              <w:rPr>
                <w:rStyle w:val="182"/>
                <w:rFonts w:hint="eastAsia"/>
                <w:szCs w:val="24"/>
              </w:rPr>
              <w:t>名称</w:t>
            </w:r>
          </w:p>
        </w:tc>
        <w:tc>
          <w:tcPr>
            <w:tcW w:w="1236" w:type="dxa"/>
          </w:tcPr>
          <w:p>
            <w:pPr>
              <w:widowControl/>
              <w:snapToGrid w:val="0"/>
              <w:jc w:val="center"/>
              <w:rPr>
                <w:rStyle w:val="182"/>
                <w:szCs w:val="24"/>
              </w:rPr>
            </w:pPr>
            <w:r>
              <w:rPr>
                <w:rStyle w:val="182"/>
                <w:rFonts w:hint="eastAsia"/>
                <w:szCs w:val="24"/>
              </w:rPr>
              <w:t>型号规格</w:t>
            </w:r>
          </w:p>
        </w:tc>
        <w:tc>
          <w:tcPr>
            <w:tcW w:w="720" w:type="dxa"/>
          </w:tcPr>
          <w:p>
            <w:pPr>
              <w:widowControl/>
              <w:snapToGrid w:val="0"/>
              <w:jc w:val="center"/>
              <w:rPr>
                <w:rStyle w:val="182"/>
                <w:szCs w:val="24"/>
              </w:rPr>
            </w:pPr>
            <w:r>
              <w:rPr>
                <w:rStyle w:val="182"/>
                <w:rFonts w:hint="eastAsia"/>
                <w:szCs w:val="24"/>
              </w:rPr>
              <w:t>单位</w:t>
            </w:r>
          </w:p>
        </w:tc>
        <w:tc>
          <w:tcPr>
            <w:tcW w:w="720" w:type="dxa"/>
          </w:tcPr>
          <w:p>
            <w:pPr>
              <w:widowControl/>
              <w:snapToGrid w:val="0"/>
              <w:jc w:val="center"/>
              <w:rPr>
                <w:rStyle w:val="182"/>
                <w:szCs w:val="24"/>
              </w:rPr>
            </w:pPr>
            <w:r>
              <w:rPr>
                <w:rStyle w:val="182"/>
                <w:rFonts w:hint="eastAsia"/>
                <w:szCs w:val="24"/>
              </w:rPr>
              <w:t>数量</w:t>
            </w:r>
          </w:p>
        </w:tc>
        <w:tc>
          <w:tcPr>
            <w:tcW w:w="720" w:type="dxa"/>
          </w:tcPr>
          <w:p>
            <w:pPr>
              <w:widowControl/>
              <w:snapToGrid w:val="0"/>
              <w:jc w:val="center"/>
              <w:rPr>
                <w:rStyle w:val="182"/>
                <w:szCs w:val="24"/>
              </w:rPr>
            </w:pPr>
            <w:r>
              <w:rPr>
                <w:rStyle w:val="182"/>
                <w:rFonts w:hint="eastAsia"/>
                <w:szCs w:val="24"/>
              </w:rPr>
              <w:t>单价</w:t>
            </w:r>
          </w:p>
        </w:tc>
        <w:tc>
          <w:tcPr>
            <w:tcW w:w="720" w:type="dxa"/>
          </w:tcPr>
          <w:p>
            <w:pPr>
              <w:widowControl/>
              <w:snapToGrid w:val="0"/>
              <w:jc w:val="center"/>
              <w:rPr>
                <w:rStyle w:val="182"/>
                <w:szCs w:val="24"/>
              </w:rPr>
            </w:pPr>
            <w:r>
              <w:rPr>
                <w:rStyle w:val="182"/>
                <w:rFonts w:hint="eastAsia"/>
                <w:szCs w:val="24"/>
              </w:rPr>
              <w:t>总价</w:t>
            </w:r>
          </w:p>
        </w:tc>
        <w:tc>
          <w:tcPr>
            <w:tcW w:w="3310" w:type="dxa"/>
          </w:tcPr>
          <w:p>
            <w:pPr>
              <w:widowControl/>
              <w:snapToGrid w:val="0"/>
              <w:jc w:val="center"/>
              <w:rPr>
                <w:rStyle w:val="182"/>
                <w:szCs w:val="24"/>
              </w:rPr>
            </w:pPr>
            <w:r>
              <w:rPr>
                <w:rStyle w:val="182"/>
                <w:rFonts w:hint="eastAsia"/>
                <w:szCs w:val="24"/>
              </w:rPr>
              <w:t>制造商及产地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0" w:type="dxa"/>
          </w:tcPr>
          <w:p>
            <w:pPr>
              <w:widowControl/>
              <w:snapToGrid w:val="0"/>
              <w:jc w:val="center"/>
              <w:rPr>
                <w:rStyle w:val="182"/>
                <w:szCs w:val="24"/>
              </w:rPr>
            </w:pPr>
          </w:p>
        </w:tc>
        <w:tc>
          <w:tcPr>
            <w:tcW w:w="1560"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0" w:type="dxa"/>
          </w:tcPr>
          <w:p>
            <w:pPr>
              <w:widowControl/>
              <w:snapToGrid w:val="0"/>
              <w:jc w:val="center"/>
              <w:rPr>
                <w:rStyle w:val="182"/>
                <w:szCs w:val="24"/>
              </w:rPr>
            </w:pPr>
          </w:p>
        </w:tc>
        <w:tc>
          <w:tcPr>
            <w:tcW w:w="1560"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0" w:type="dxa"/>
          </w:tcPr>
          <w:p>
            <w:pPr>
              <w:widowControl/>
              <w:snapToGrid w:val="0"/>
              <w:jc w:val="center"/>
              <w:rPr>
                <w:rStyle w:val="182"/>
                <w:szCs w:val="24"/>
              </w:rPr>
            </w:pPr>
          </w:p>
        </w:tc>
        <w:tc>
          <w:tcPr>
            <w:tcW w:w="1560"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0" w:type="dxa"/>
          </w:tcPr>
          <w:p>
            <w:pPr>
              <w:widowControl/>
              <w:snapToGrid w:val="0"/>
              <w:jc w:val="center"/>
              <w:rPr>
                <w:rStyle w:val="182"/>
                <w:szCs w:val="24"/>
              </w:rPr>
            </w:pPr>
          </w:p>
        </w:tc>
        <w:tc>
          <w:tcPr>
            <w:tcW w:w="1560"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0" w:type="dxa"/>
          </w:tcPr>
          <w:p>
            <w:pPr>
              <w:widowControl/>
              <w:snapToGrid w:val="0"/>
              <w:jc w:val="center"/>
              <w:rPr>
                <w:rStyle w:val="182"/>
                <w:szCs w:val="24"/>
              </w:rPr>
            </w:pPr>
          </w:p>
        </w:tc>
        <w:tc>
          <w:tcPr>
            <w:tcW w:w="1560"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0" w:type="dxa"/>
          </w:tcPr>
          <w:p>
            <w:pPr>
              <w:widowControl/>
              <w:snapToGrid w:val="0"/>
              <w:jc w:val="center"/>
              <w:rPr>
                <w:rStyle w:val="182"/>
                <w:szCs w:val="24"/>
              </w:rPr>
            </w:pPr>
          </w:p>
        </w:tc>
        <w:tc>
          <w:tcPr>
            <w:tcW w:w="1560"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0" w:type="dxa"/>
          </w:tcPr>
          <w:p>
            <w:pPr>
              <w:widowControl/>
              <w:snapToGrid w:val="0"/>
              <w:jc w:val="center"/>
              <w:rPr>
                <w:rStyle w:val="182"/>
                <w:szCs w:val="24"/>
              </w:rPr>
            </w:pPr>
          </w:p>
        </w:tc>
        <w:tc>
          <w:tcPr>
            <w:tcW w:w="1560"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0" w:type="dxa"/>
          </w:tcPr>
          <w:p>
            <w:pPr>
              <w:widowControl/>
              <w:snapToGrid w:val="0"/>
              <w:jc w:val="center"/>
              <w:rPr>
                <w:rStyle w:val="182"/>
                <w:szCs w:val="24"/>
              </w:rPr>
            </w:pPr>
          </w:p>
        </w:tc>
        <w:tc>
          <w:tcPr>
            <w:tcW w:w="1560"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bl>
    <w:p>
      <w:pPr>
        <w:spacing w:line="440" w:lineRule="exact"/>
        <w:ind w:firstLine="480" w:firstLineChars="200"/>
        <w:rPr>
          <w:rFonts w:cs="宋体"/>
          <w:sz w:val="24"/>
          <w:szCs w:val="24"/>
        </w:rPr>
      </w:pPr>
      <w:r>
        <w:rPr>
          <w:rFonts w:hint="eastAsia" w:cs="宋体"/>
          <w:sz w:val="24"/>
          <w:szCs w:val="24"/>
        </w:rPr>
        <w:t>6.2  备品备件、易损件和专用耗材明细表：</w:t>
      </w:r>
    </w:p>
    <w:p>
      <w:pPr>
        <w:spacing w:line="440" w:lineRule="exact"/>
        <w:ind w:firstLine="480" w:firstLineChars="200"/>
        <w:rPr>
          <w:rFonts w:cs="宋体"/>
          <w:sz w:val="24"/>
          <w:szCs w:val="24"/>
        </w:rPr>
      </w:pPr>
      <w:r>
        <w:rPr>
          <w:rFonts w:hint="eastAsia" w:cs="宋体"/>
          <w:sz w:val="24"/>
          <w:szCs w:val="24"/>
        </w:rPr>
        <w:t>备品备件、易损件和专用耗材明细表单位：元</w:t>
      </w:r>
    </w:p>
    <w:tbl>
      <w:tblPr>
        <w:tblStyle w:val="77"/>
        <w:tblW w:w="96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8"/>
        <w:gridCol w:w="1128"/>
        <w:gridCol w:w="1236"/>
        <w:gridCol w:w="720"/>
        <w:gridCol w:w="720"/>
        <w:gridCol w:w="720"/>
        <w:gridCol w:w="720"/>
        <w:gridCol w:w="3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48" w:type="dxa"/>
          </w:tcPr>
          <w:p>
            <w:pPr>
              <w:widowControl/>
              <w:snapToGrid w:val="0"/>
              <w:jc w:val="center"/>
              <w:rPr>
                <w:rStyle w:val="182"/>
                <w:szCs w:val="24"/>
              </w:rPr>
            </w:pPr>
            <w:r>
              <w:rPr>
                <w:rStyle w:val="182"/>
                <w:rFonts w:hint="eastAsia"/>
                <w:szCs w:val="24"/>
              </w:rPr>
              <w:t>序号</w:t>
            </w:r>
          </w:p>
        </w:tc>
        <w:tc>
          <w:tcPr>
            <w:tcW w:w="1128" w:type="dxa"/>
          </w:tcPr>
          <w:p>
            <w:pPr>
              <w:widowControl/>
              <w:snapToGrid w:val="0"/>
              <w:jc w:val="center"/>
              <w:rPr>
                <w:rStyle w:val="182"/>
                <w:szCs w:val="24"/>
              </w:rPr>
            </w:pPr>
            <w:r>
              <w:rPr>
                <w:rStyle w:val="182"/>
                <w:rFonts w:hint="eastAsia"/>
                <w:szCs w:val="24"/>
              </w:rPr>
              <w:t>名称</w:t>
            </w:r>
          </w:p>
        </w:tc>
        <w:tc>
          <w:tcPr>
            <w:tcW w:w="1236" w:type="dxa"/>
          </w:tcPr>
          <w:p>
            <w:pPr>
              <w:widowControl/>
              <w:snapToGrid w:val="0"/>
              <w:jc w:val="center"/>
              <w:rPr>
                <w:rStyle w:val="182"/>
                <w:szCs w:val="24"/>
              </w:rPr>
            </w:pPr>
            <w:r>
              <w:rPr>
                <w:rStyle w:val="182"/>
                <w:rFonts w:hint="eastAsia"/>
                <w:szCs w:val="24"/>
              </w:rPr>
              <w:t>型号规格</w:t>
            </w:r>
          </w:p>
        </w:tc>
        <w:tc>
          <w:tcPr>
            <w:tcW w:w="720" w:type="dxa"/>
          </w:tcPr>
          <w:p>
            <w:pPr>
              <w:widowControl/>
              <w:snapToGrid w:val="0"/>
              <w:jc w:val="center"/>
              <w:rPr>
                <w:rStyle w:val="182"/>
                <w:szCs w:val="24"/>
              </w:rPr>
            </w:pPr>
            <w:r>
              <w:rPr>
                <w:rStyle w:val="182"/>
                <w:rFonts w:hint="eastAsia"/>
                <w:szCs w:val="24"/>
              </w:rPr>
              <w:t>单位</w:t>
            </w:r>
          </w:p>
        </w:tc>
        <w:tc>
          <w:tcPr>
            <w:tcW w:w="720" w:type="dxa"/>
          </w:tcPr>
          <w:p>
            <w:pPr>
              <w:widowControl/>
              <w:snapToGrid w:val="0"/>
              <w:jc w:val="center"/>
              <w:rPr>
                <w:rStyle w:val="182"/>
                <w:szCs w:val="24"/>
              </w:rPr>
            </w:pPr>
            <w:r>
              <w:rPr>
                <w:rStyle w:val="182"/>
                <w:rFonts w:hint="eastAsia"/>
                <w:szCs w:val="24"/>
              </w:rPr>
              <w:t>数量</w:t>
            </w:r>
          </w:p>
        </w:tc>
        <w:tc>
          <w:tcPr>
            <w:tcW w:w="720" w:type="dxa"/>
          </w:tcPr>
          <w:p>
            <w:pPr>
              <w:widowControl/>
              <w:snapToGrid w:val="0"/>
              <w:jc w:val="center"/>
              <w:rPr>
                <w:rStyle w:val="182"/>
                <w:szCs w:val="24"/>
              </w:rPr>
            </w:pPr>
            <w:r>
              <w:rPr>
                <w:rStyle w:val="182"/>
                <w:rFonts w:hint="eastAsia"/>
                <w:szCs w:val="24"/>
              </w:rPr>
              <w:t>单价</w:t>
            </w:r>
          </w:p>
        </w:tc>
        <w:tc>
          <w:tcPr>
            <w:tcW w:w="720" w:type="dxa"/>
          </w:tcPr>
          <w:p>
            <w:pPr>
              <w:widowControl/>
              <w:snapToGrid w:val="0"/>
              <w:jc w:val="center"/>
              <w:rPr>
                <w:rStyle w:val="182"/>
                <w:szCs w:val="24"/>
              </w:rPr>
            </w:pPr>
            <w:r>
              <w:rPr>
                <w:rStyle w:val="182"/>
                <w:rFonts w:hint="eastAsia"/>
                <w:szCs w:val="24"/>
              </w:rPr>
              <w:t>总价</w:t>
            </w:r>
          </w:p>
        </w:tc>
        <w:tc>
          <w:tcPr>
            <w:tcW w:w="3310" w:type="dxa"/>
          </w:tcPr>
          <w:p>
            <w:pPr>
              <w:widowControl/>
              <w:snapToGrid w:val="0"/>
              <w:jc w:val="center"/>
              <w:rPr>
                <w:rStyle w:val="182"/>
                <w:szCs w:val="24"/>
              </w:rPr>
            </w:pPr>
            <w:r>
              <w:rPr>
                <w:rStyle w:val="182"/>
                <w:rFonts w:hint="eastAsia"/>
                <w:szCs w:val="24"/>
              </w:rPr>
              <w:t>制造商及产地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48" w:type="dxa"/>
          </w:tcPr>
          <w:p>
            <w:pPr>
              <w:widowControl/>
              <w:snapToGrid w:val="0"/>
              <w:jc w:val="center"/>
              <w:rPr>
                <w:rStyle w:val="182"/>
                <w:szCs w:val="24"/>
              </w:rPr>
            </w:pPr>
            <w:r>
              <w:rPr>
                <w:rStyle w:val="182"/>
                <w:rFonts w:hint="eastAsia"/>
                <w:szCs w:val="24"/>
              </w:rPr>
              <w:t>1</w:t>
            </w:r>
          </w:p>
        </w:tc>
        <w:tc>
          <w:tcPr>
            <w:tcW w:w="1128"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48" w:type="dxa"/>
          </w:tcPr>
          <w:p>
            <w:pPr>
              <w:widowControl/>
              <w:snapToGrid w:val="0"/>
              <w:jc w:val="center"/>
              <w:rPr>
                <w:rStyle w:val="182"/>
                <w:szCs w:val="24"/>
              </w:rPr>
            </w:pPr>
            <w:r>
              <w:rPr>
                <w:rStyle w:val="182"/>
                <w:rFonts w:hint="eastAsia"/>
                <w:szCs w:val="24"/>
              </w:rPr>
              <w:t>2</w:t>
            </w:r>
          </w:p>
        </w:tc>
        <w:tc>
          <w:tcPr>
            <w:tcW w:w="1128"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48" w:type="dxa"/>
          </w:tcPr>
          <w:p>
            <w:pPr>
              <w:widowControl/>
              <w:snapToGrid w:val="0"/>
              <w:jc w:val="center"/>
              <w:rPr>
                <w:rStyle w:val="182"/>
                <w:szCs w:val="24"/>
              </w:rPr>
            </w:pPr>
            <w:r>
              <w:rPr>
                <w:rStyle w:val="182"/>
                <w:rFonts w:hint="eastAsia"/>
                <w:szCs w:val="24"/>
              </w:rPr>
              <w:t>3</w:t>
            </w:r>
          </w:p>
        </w:tc>
        <w:tc>
          <w:tcPr>
            <w:tcW w:w="1128"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48" w:type="dxa"/>
          </w:tcPr>
          <w:p>
            <w:pPr>
              <w:widowControl/>
              <w:snapToGrid w:val="0"/>
              <w:jc w:val="center"/>
              <w:rPr>
                <w:rStyle w:val="182"/>
                <w:szCs w:val="24"/>
              </w:rPr>
            </w:pPr>
            <w:r>
              <w:rPr>
                <w:rStyle w:val="182"/>
                <w:rFonts w:hint="eastAsia"/>
                <w:szCs w:val="24"/>
              </w:rPr>
              <w:t>4</w:t>
            </w:r>
          </w:p>
        </w:tc>
        <w:tc>
          <w:tcPr>
            <w:tcW w:w="1128"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48" w:type="dxa"/>
          </w:tcPr>
          <w:p>
            <w:pPr>
              <w:widowControl/>
              <w:snapToGrid w:val="0"/>
              <w:jc w:val="center"/>
              <w:rPr>
                <w:rStyle w:val="182"/>
                <w:szCs w:val="24"/>
              </w:rPr>
            </w:pPr>
            <w:r>
              <w:rPr>
                <w:rStyle w:val="182"/>
                <w:rFonts w:hint="eastAsia"/>
                <w:szCs w:val="24"/>
              </w:rPr>
              <w:t>5</w:t>
            </w:r>
          </w:p>
        </w:tc>
        <w:tc>
          <w:tcPr>
            <w:tcW w:w="1128"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48" w:type="dxa"/>
          </w:tcPr>
          <w:p>
            <w:pPr>
              <w:widowControl/>
              <w:snapToGrid w:val="0"/>
              <w:jc w:val="center"/>
              <w:rPr>
                <w:rStyle w:val="182"/>
                <w:szCs w:val="24"/>
              </w:rPr>
            </w:pPr>
            <w:r>
              <w:rPr>
                <w:rStyle w:val="182"/>
                <w:rFonts w:hint="eastAsia"/>
                <w:szCs w:val="24"/>
              </w:rPr>
              <w:t>6</w:t>
            </w:r>
          </w:p>
        </w:tc>
        <w:tc>
          <w:tcPr>
            <w:tcW w:w="1128"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48" w:type="dxa"/>
          </w:tcPr>
          <w:p>
            <w:pPr>
              <w:widowControl/>
              <w:snapToGrid w:val="0"/>
              <w:jc w:val="center"/>
              <w:rPr>
                <w:rStyle w:val="182"/>
                <w:szCs w:val="24"/>
              </w:rPr>
            </w:pPr>
            <w:r>
              <w:rPr>
                <w:rStyle w:val="182"/>
                <w:rFonts w:hint="eastAsia"/>
                <w:szCs w:val="24"/>
              </w:rPr>
              <w:t>7</w:t>
            </w:r>
          </w:p>
        </w:tc>
        <w:tc>
          <w:tcPr>
            <w:tcW w:w="1128"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48" w:type="dxa"/>
          </w:tcPr>
          <w:p>
            <w:pPr>
              <w:widowControl/>
              <w:snapToGrid w:val="0"/>
              <w:jc w:val="center"/>
              <w:rPr>
                <w:rStyle w:val="182"/>
                <w:szCs w:val="24"/>
              </w:rPr>
            </w:pPr>
            <w:r>
              <w:rPr>
                <w:rStyle w:val="182"/>
                <w:rFonts w:hint="eastAsia"/>
                <w:szCs w:val="24"/>
              </w:rPr>
              <w:t>8</w:t>
            </w:r>
          </w:p>
        </w:tc>
        <w:tc>
          <w:tcPr>
            <w:tcW w:w="1128" w:type="dxa"/>
          </w:tcPr>
          <w:p>
            <w:pPr>
              <w:widowControl/>
              <w:snapToGrid w:val="0"/>
              <w:rPr>
                <w:rStyle w:val="182"/>
                <w:szCs w:val="24"/>
              </w:rPr>
            </w:pPr>
          </w:p>
        </w:tc>
        <w:tc>
          <w:tcPr>
            <w:tcW w:w="1236" w:type="dxa"/>
          </w:tcPr>
          <w:p>
            <w:pPr>
              <w:widowControl/>
              <w:snapToGrid w:val="0"/>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720" w:type="dxa"/>
          </w:tcPr>
          <w:p>
            <w:pPr>
              <w:widowControl/>
              <w:snapToGrid w:val="0"/>
              <w:jc w:val="center"/>
              <w:rPr>
                <w:rStyle w:val="182"/>
                <w:szCs w:val="24"/>
              </w:rPr>
            </w:pPr>
          </w:p>
        </w:tc>
        <w:tc>
          <w:tcPr>
            <w:tcW w:w="3310" w:type="dxa"/>
          </w:tcPr>
          <w:p>
            <w:pPr>
              <w:widowControl/>
              <w:snapToGrid w:val="0"/>
              <w:rPr>
                <w:rStyle w:val="182"/>
                <w:szCs w:val="24"/>
              </w:rPr>
            </w:pPr>
          </w:p>
        </w:tc>
      </w:tr>
    </w:tbl>
    <w:p>
      <w:pPr>
        <w:spacing w:line="440" w:lineRule="exact"/>
        <w:ind w:firstLine="480" w:firstLineChars="200"/>
        <w:rPr>
          <w:rFonts w:cs="宋体"/>
          <w:sz w:val="24"/>
          <w:szCs w:val="24"/>
        </w:rPr>
      </w:pPr>
      <w:r>
        <w:rPr>
          <w:rFonts w:hint="eastAsia" w:cs="宋体"/>
          <w:sz w:val="24"/>
          <w:szCs w:val="24"/>
        </w:rPr>
        <w:t>6.3  “一览表”和“明细表”仅作为投标方编制投标技术文件的一般格式。其中序号编写应当便于招标方了解分类或分项货物之间的所属关系，如1、1.1、1.2。</w:t>
      </w:r>
    </w:p>
    <w:p>
      <w:pPr>
        <w:spacing w:line="440" w:lineRule="exact"/>
        <w:ind w:firstLine="480" w:firstLineChars="200"/>
        <w:rPr>
          <w:rFonts w:cs="宋体"/>
          <w:sz w:val="24"/>
          <w:szCs w:val="24"/>
        </w:rPr>
      </w:pPr>
      <w:r>
        <w:rPr>
          <w:rFonts w:hint="eastAsia" w:cs="宋体"/>
          <w:sz w:val="24"/>
          <w:szCs w:val="24"/>
        </w:rPr>
        <w:t>6.4应当尽可能将货物的配置列全、列细，这将有助于投标方胜出。</w:t>
      </w:r>
    </w:p>
    <w:p>
      <w:pPr>
        <w:spacing w:line="440" w:lineRule="exact"/>
        <w:ind w:firstLine="480" w:firstLineChars="200"/>
        <w:rPr>
          <w:rFonts w:cs="宋体"/>
          <w:sz w:val="24"/>
          <w:szCs w:val="24"/>
        </w:rPr>
      </w:pPr>
      <w:r>
        <w:rPr>
          <w:rFonts w:hint="eastAsia" w:cs="宋体"/>
          <w:sz w:val="24"/>
          <w:szCs w:val="24"/>
        </w:rPr>
        <w:t>6.5单价与总价之间、总价与分类小计价之间、分类小计价与合计价之间数据应当齐全而且准确。</w:t>
      </w:r>
    </w:p>
    <w:p>
      <w:pPr>
        <w:spacing w:line="440" w:lineRule="exact"/>
        <w:ind w:firstLine="480" w:firstLineChars="200"/>
        <w:rPr>
          <w:rFonts w:cs="宋体"/>
          <w:sz w:val="24"/>
          <w:szCs w:val="24"/>
        </w:rPr>
      </w:pPr>
      <w:r>
        <w:rPr>
          <w:rFonts w:hint="eastAsia" w:cs="宋体"/>
          <w:sz w:val="24"/>
          <w:szCs w:val="24"/>
        </w:rPr>
        <w:t>6.6本条款表格中的制造商，应当为全称或公认的简称。</w:t>
      </w:r>
    </w:p>
    <w:p>
      <w:pPr>
        <w:spacing w:line="440" w:lineRule="exact"/>
        <w:ind w:firstLine="482" w:firstLineChars="200"/>
        <w:rPr>
          <w:rFonts w:cs="宋体"/>
          <w:b/>
          <w:bCs/>
          <w:sz w:val="24"/>
          <w:szCs w:val="24"/>
        </w:rPr>
      </w:pPr>
      <w:r>
        <w:rPr>
          <w:rFonts w:hint="eastAsia" w:cs="宋体"/>
          <w:b/>
          <w:bCs/>
          <w:sz w:val="24"/>
          <w:szCs w:val="24"/>
        </w:rPr>
        <w:t>二、技术文件中货物报价格式要求</w:t>
      </w:r>
    </w:p>
    <w:p>
      <w:pPr>
        <w:spacing w:line="440" w:lineRule="exact"/>
        <w:ind w:firstLine="480" w:firstLineChars="200"/>
        <w:rPr>
          <w:rFonts w:cs="宋体"/>
          <w:sz w:val="24"/>
          <w:szCs w:val="24"/>
        </w:rPr>
      </w:pPr>
      <w:r>
        <w:rPr>
          <w:rFonts w:hint="eastAsia" w:cs="宋体"/>
          <w:sz w:val="24"/>
          <w:szCs w:val="24"/>
        </w:rPr>
        <w:t>1.货物配置一览表合计价以及备品备件、易损件和专用耗材明细表合计价应当在投标总报价内对应重现而且应当数据准确。</w:t>
      </w:r>
    </w:p>
    <w:p>
      <w:pPr>
        <w:spacing w:line="440" w:lineRule="exact"/>
        <w:ind w:firstLine="480" w:firstLineChars="200"/>
        <w:rPr>
          <w:rFonts w:cs="宋体"/>
          <w:sz w:val="24"/>
          <w:szCs w:val="24"/>
        </w:rPr>
      </w:pPr>
      <w:r>
        <w:rPr>
          <w:rFonts w:hint="eastAsia" w:cs="宋体"/>
          <w:sz w:val="24"/>
          <w:szCs w:val="24"/>
        </w:rPr>
        <w:t>其中，质保期之内需要的备品备件、易损件和专用耗材，需要在配置一览表内单独分类列出并计入货物配置一览表合计价。</w:t>
      </w:r>
    </w:p>
    <w:p>
      <w:pPr>
        <w:spacing w:line="440" w:lineRule="exact"/>
        <w:ind w:firstLine="480" w:firstLineChars="200"/>
        <w:rPr>
          <w:rFonts w:cs="宋体"/>
          <w:sz w:val="24"/>
          <w:szCs w:val="24"/>
        </w:rPr>
      </w:pPr>
      <w:r>
        <w:rPr>
          <w:rFonts w:hint="eastAsia" w:cs="宋体"/>
          <w:sz w:val="24"/>
          <w:szCs w:val="24"/>
        </w:rPr>
        <w:t>2.投标技术文件中，如未按照要求编写、或者存在漏项和缺项，将有可能造成对投标方不必要的误解；必要时，漏项和缺项涉及的费用，将有可能以其它投标方中，相同或相似项目的最高价，计入投标方的投标总报价之内，作为评标的依据之一。</w:t>
      </w:r>
    </w:p>
    <w:p>
      <w:pPr>
        <w:spacing w:line="440" w:lineRule="exact"/>
        <w:ind w:firstLine="480" w:firstLineChars="200"/>
        <w:rPr>
          <w:rFonts w:cs="宋体"/>
          <w:sz w:val="24"/>
          <w:szCs w:val="24"/>
        </w:rPr>
      </w:pPr>
      <w:r>
        <w:rPr>
          <w:rFonts w:hint="eastAsia" w:cs="宋体"/>
          <w:sz w:val="24"/>
          <w:szCs w:val="24"/>
        </w:rPr>
        <w:t>3.如果投标总报价与其它价格出现错误或不一致，将有可能导致废标。</w:t>
      </w:r>
    </w:p>
    <w:p>
      <w:pPr>
        <w:spacing w:line="440" w:lineRule="exact"/>
        <w:ind w:firstLine="480" w:firstLineChars="200"/>
        <w:rPr>
          <w:rFonts w:cs="宋体"/>
          <w:sz w:val="24"/>
          <w:szCs w:val="24"/>
        </w:rPr>
      </w:pPr>
      <w:r>
        <w:rPr>
          <w:rFonts w:hint="eastAsia" w:cs="宋体"/>
          <w:sz w:val="24"/>
          <w:szCs w:val="24"/>
        </w:rPr>
        <w:t>4、投标总报价为自合同签定生效至合同无异议执行完毕涉及的买方需要支付的全部费用。如投标方认为本招标及投标货物涉及特需或专门的设计，应当单独列明设计费。</w:t>
      </w:r>
    </w:p>
    <w:p>
      <w:pPr>
        <w:spacing w:line="440" w:lineRule="exact"/>
        <w:ind w:firstLine="480" w:firstLineChars="200"/>
        <w:rPr>
          <w:rFonts w:cs="宋体"/>
          <w:sz w:val="24"/>
          <w:szCs w:val="24"/>
        </w:rPr>
      </w:pPr>
      <w:r>
        <w:rPr>
          <w:rFonts w:hint="eastAsia" w:cs="宋体"/>
          <w:sz w:val="24"/>
          <w:szCs w:val="24"/>
        </w:rPr>
        <w:t>5.备品备件、易损件和专用耗材，招标方将可能与投标方按照投标价格另行签署供货合同。</w:t>
      </w:r>
    </w:p>
    <w:p>
      <w:pPr>
        <w:spacing w:line="440" w:lineRule="exact"/>
        <w:ind w:firstLine="480" w:firstLineChars="200"/>
        <w:rPr>
          <w:rFonts w:cs="宋体"/>
          <w:sz w:val="24"/>
          <w:szCs w:val="24"/>
        </w:rPr>
      </w:pPr>
      <w:r>
        <w:rPr>
          <w:rFonts w:hint="eastAsia" w:cs="宋体"/>
          <w:sz w:val="24"/>
          <w:szCs w:val="24"/>
        </w:rPr>
        <w:t>6.要求投标总报价、分项报价、明细报价之间应当具有相互间对应关系以及填报分项和明细报价，仅为便于评标而不妨碍投标人以最合适的形式签署合同。</w:t>
      </w:r>
    </w:p>
    <w:p>
      <w:pPr>
        <w:spacing w:line="440" w:lineRule="exact"/>
        <w:ind w:firstLine="482" w:firstLineChars="200"/>
        <w:rPr>
          <w:rFonts w:cs="宋体"/>
          <w:b/>
          <w:bCs/>
          <w:sz w:val="24"/>
          <w:szCs w:val="24"/>
        </w:rPr>
      </w:pPr>
      <w:r>
        <w:rPr>
          <w:rFonts w:hint="eastAsia" w:cs="宋体"/>
          <w:b/>
          <w:bCs/>
          <w:sz w:val="24"/>
          <w:szCs w:val="24"/>
        </w:rPr>
        <w:t>三、验收标准及内容要求</w:t>
      </w:r>
    </w:p>
    <w:p>
      <w:pPr>
        <w:spacing w:line="440" w:lineRule="exact"/>
        <w:ind w:firstLine="480" w:firstLineChars="200"/>
        <w:rPr>
          <w:rFonts w:cs="宋体"/>
          <w:sz w:val="24"/>
          <w:szCs w:val="24"/>
        </w:rPr>
      </w:pPr>
      <w:r>
        <w:rPr>
          <w:rFonts w:hint="eastAsia" w:cs="宋体"/>
          <w:sz w:val="24"/>
          <w:szCs w:val="24"/>
        </w:rPr>
        <w:t>除招标文件明确的验收标准或内容之外，投标方应当在投标文件中提供预验收（必要时）和终验收的标准以及规程；在合同签定之前，经投标方和招标方双方洽谈确认并签署，以作为验收标准执行。</w:t>
      </w:r>
    </w:p>
    <w:p>
      <w:pPr>
        <w:pStyle w:val="5"/>
        <w:numPr>
          <w:ilvl w:val="2"/>
          <w:numId w:val="0"/>
        </w:numPr>
        <w:spacing w:line="500" w:lineRule="exact"/>
        <w:jc w:val="center"/>
        <w:rPr>
          <w:rFonts w:ascii="宋体" w:hAnsi="宋体" w:cs="宋体"/>
        </w:rPr>
      </w:pPr>
      <w:r>
        <w:rPr>
          <w:rFonts w:hint="eastAsia" w:ascii="宋体" w:hAnsi="宋体" w:cs="宋体"/>
        </w:rPr>
        <w:t>第六节 其它要求及说明</w:t>
      </w:r>
    </w:p>
    <w:p>
      <w:pPr>
        <w:spacing w:line="440" w:lineRule="exact"/>
        <w:ind w:firstLine="482" w:firstLineChars="200"/>
        <w:rPr>
          <w:rFonts w:cs="宋体"/>
          <w:b/>
          <w:bCs/>
          <w:sz w:val="24"/>
          <w:szCs w:val="24"/>
        </w:rPr>
      </w:pPr>
      <w:r>
        <w:rPr>
          <w:rFonts w:hint="eastAsia" w:cs="宋体"/>
          <w:b/>
          <w:bCs/>
          <w:sz w:val="24"/>
          <w:szCs w:val="24"/>
        </w:rPr>
        <w:t>一、要求</w:t>
      </w:r>
    </w:p>
    <w:p>
      <w:pPr>
        <w:spacing w:line="440" w:lineRule="exact"/>
        <w:ind w:firstLine="480" w:firstLineChars="200"/>
        <w:rPr>
          <w:rFonts w:cs="宋体"/>
          <w:sz w:val="24"/>
          <w:szCs w:val="24"/>
        </w:rPr>
      </w:pPr>
      <w:r>
        <w:rPr>
          <w:rFonts w:hint="eastAsia" w:cs="宋体"/>
          <w:sz w:val="24"/>
          <w:szCs w:val="24"/>
        </w:rPr>
        <w:t>为保证本技术标书所列采购货物的质量以及先进性、可靠性、经济性和实用性，要求投标方在投标文件中，至少应具备以下资格证明文件或资料（投标货物不涉及的除外）：</w:t>
      </w:r>
    </w:p>
    <w:p>
      <w:pPr>
        <w:spacing w:line="440" w:lineRule="exact"/>
        <w:ind w:firstLine="480" w:firstLineChars="200"/>
        <w:rPr>
          <w:rFonts w:cs="宋体"/>
          <w:sz w:val="24"/>
          <w:szCs w:val="24"/>
        </w:rPr>
      </w:pPr>
      <w:r>
        <w:rPr>
          <w:rFonts w:hint="eastAsia" w:cs="宋体"/>
          <w:sz w:val="24"/>
          <w:szCs w:val="24"/>
        </w:rPr>
        <w:t>1.投标方应是独立法人或得到法人授权的分支机构。应当在投标文件中提供法人营业执照（复印件）、税务登记证以及组织机构代码证（国外供应商参考该要求提供有效证明文件），并保证其真实性和有效性。</w:t>
      </w:r>
    </w:p>
    <w:p>
      <w:pPr>
        <w:spacing w:line="440" w:lineRule="exact"/>
        <w:ind w:firstLine="480" w:firstLineChars="200"/>
        <w:rPr>
          <w:rFonts w:cs="宋体"/>
          <w:sz w:val="24"/>
          <w:szCs w:val="24"/>
        </w:rPr>
      </w:pPr>
      <w:r>
        <w:rPr>
          <w:rFonts w:hint="eastAsia" w:cs="宋体"/>
          <w:sz w:val="24"/>
          <w:szCs w:val="24"/>
        </w:rPr>
        <w:t>2.国产设备应附有采购货物（或设备）涉及的由“中国质量认证中心”颁发的《中国国家强制性产品认证证书》（CCC证书）。</w:t>
      </w:r>
    </w:p>
    <w:p>
      <w:pPr>
        <w:spacing w:line="440" w:lineRule="exact"/>
        <w:ind w:firstLine="480" w:firstLineChars="200"/>
        <w:rPr>
          <w:rFonts w:cs="宋体"/>
          <w:sz w:val="24"/>
          <w:szCs w:val="24"/>
        </w:rPr>
      </w:pPr>
      <w:r>
        <w:rPr>
          <w:rFonts w:hint="eastAsia" w:cs="宋体"/>
          <w:sz w:val="24"/>
          <w:szCs w:val="24"/>
        </w:rPr>
        <w:t>3.应附有其它与投标单位、采购货物有关的荣誉证书或资料。</w:t>
      </w:r>
    </w:p>
    <w:p>
      <w:pPr>
        <w:spacing w:line="440" w:lineRule="exact"/>
        <w:ind w:firstLine="480" w:firstLineChars="200"/>
        <w:rPr>
          <w:rFonts w:cs="宋体"/>
          <w:sz w:val="24"/>
          <w:szCs w:val="24"/>
        </w:rPr>
      </w:pPr>
      <w:r>
        <w:rPr>
          <w:rFonts w:hint="eastAsia" w:cs="宋体"/>
          <w:sz w:val="24"/>
          <w:szCs w:val="24"/>
        </w:rPr>
        <w:t>4.必须附有投标货物涉及产品要求的、国家或行业管理规定要求的、或者投标方认为能够体现其投标货物合法性及先进性的最高级别的证明材料（投标货物不涉及的除外）：</w:t>
      </w:r>
    </w:p>
    <w:p>
      <w:pPr>
        <w:spacing w:line="440" w:lineRule="exact"/>
        <w:ind w:firstLine="480" w:firstLineChars="200"/>
        <w:rPr>
          <w:rFonts w:cs="宋体"/>
          <w:sz w:val="24"/>
          <w:szCs w:val="24"/>
        </w:rPr>
      </w:pPr>
      <w:r>
        <w:rPr>
          <w:rFonts w:hint="eastAsia" w:cs="宋体"/>
          <w:sz w:val="24"/>
          <w:szCs w:val="24"/>
        </w:rPr>
        <w:t>4.1  国家相关机构颁发的有效期之内所必需的《生产许可证》。</w:t>
      </w:r>
    </w:p>
    <w:p>
      <w:pPr>
        <w:spacing w:line="440" w:lineRule="exact"/>
        <w:ind w:firstLine="480" w:firstLineChars="200"/>
        <w:rPr>
          <w:rFonts w:cs="宋体"/>
          <w:sz w:val="24"/>
          <w:szCs w:val="24"/>
        </w:rPr>
      </w:pPr>
      <w:r>
        <w:rPr>
          <w:rFonts w:hint="eastAsia" w:cs="宋体"/>
          <w:sz w:val="24"/>
          <w:szCs w:val="24"/>
        </w:rPr>
        <w:t>4.2  产品（或技术）鉴定报告/证书、专利证书或专利许可证书、新技术成果证书等。</w:t>
      </w:r>
    </w:p>
    <w:p>
      <w:pPr>
        <w:spacing w:line="440" w:lineRule="exact"/>
        <w:ind w:firstLine="480" w:firstLineChars="200"/>
        <w:rPr>
          <w:rFonts w:cs="宋体"/>
          <w:sz w:val="24"/>
          <w:szCs w:val="24"/>
        </w:rPr>
      </w:pPr>
      <w:r>
        <w:rPr>
          <w:rFonts w:hint="eastAsia" w:cs="宋体"/>
          <w:sz w:val="24"/>
          <w:szCs w:val="24"/>
        </w:rPr>
        <w:t>4.3  产品相关检验、试验报告，如：型式试验检验报告、安全试验检验报告、电弧效应试验报告、噪声检测报告等</w:t>
      </w:r>
    </w:p>
    <w:p>
      <w:pPr>
        <w:spacing w:line="440" w:lineRule="exact"/>
        <w:ind w:firstLine="480" w:firstLineChars="200"/>
        <w:rPr>
          <w:rFonts w:cs="宋体"/>
          <w:sz w:val="24"/>
          <w:szCs w:val="24"/>
        </w:rPr>
      </w:pPr>
      <w:r>
        <w:rPr>
          <w:rFonts w:hint="eastAsia" w:cs="宋体"/>
          <w:sz w:val="24"/>
          <w:szCs w:val="24"/>
        </w:rPr>
        <w:t>4.4  其它能够证明所供货物的质量水平、技术水平、安全性水平、节能性水平、环保性水平等相关的其它证明文件或资料、报告等。</w:t>
      </w:r>
    </w:p>
    <w:p>
      <w:pPr>
        <w:spacing w:line="440" w:lineRule="exact"/>
        <w:ind w:firstLine="480" w:firstLineChars="200"/>
        <w:rPr>
          <w:rFonts w:cs="宋体"/>
          <w:sz w:val="24"/>
          <w:szCs w:val="24"/>
        </w:rPr>
      </w:pPr>
      <w:r>
        <w:rPr>
          <w:rFonts w:hint="eastAsia" w:cs="宋体"/>
          <w:sz w:val="24"/>
          <w:szCs w:val="24"/>
        </w:rPr>
        <w:t>4.5  该类报告或证明材料对于投标方胜出乃至中标极为重要！</w:t>
      </w:r>
    </w:p>
    <w:p>
      <w:pPr>
        <w:spacing w:line="440" w:lineRule="exact"/>
        <w:ind w:firstLine="480" w:firstLineChars="200"/>
        <w:rPr>
          <w:rFonts w:cs="宋体"/>
          <w:sz w:val="24"/>
          <w:szCs w:val="24"/>
        </w:rPr>
      </w:pPr>
      <w:r>
        <w:rPr>
          <w:rFonts w:hint="eastAsia" w:cs="宋体"/>
          <w:sz w:val="24"/>
          <w:szCs w:val="24"/>
        </w:rPr>
        <w:t>5.必须附有：与本采购货物相同或相似技术规格、型号的而且已经正常使用或通过验收的近三年以上的货物的市场销售业绩清单，清单中应具备：买方单位名称、销售货物的规格型号、数量、（交货）时间、联系人和联系电话（非移动通信号码）等条目内容；投标方应当保证其业绩的真实性，否则将影响投标或中标资格。</w:t>
      </w:r>
    </w:p>
    <w:p>
      <w:pPr>
        <w:spacing w:line="440" w:lineRule="exact"/>
        <w:ind w:firstLine="482" w:firstLineChars="200"/>
        <w:rPr>
          <w:rFonts w:cs="宋体"/>
          <w:b/>
          <w:bCs/>
          <w:sz w:val="24"/>
          <w:szCs w:val="24"/>
        </w:rPr>
      </w:pPr>
      <w:r>
        <w:rPr>
          <w:rFonts w:hint="eastAsia" w:cs="宋体"/>
          <w:b/>
          <w:bCs/>
          <w:sz w:val="24"/>
          <w:szCs w:val="24"/>
        </w:rPr>
        <w:t>二、说明</w:t>
      </w:r>
    </w:p>
    <w:p>
      <w:pPr>
        <w:spacing w:line="440" w:lineRule="exact"/>
        <w:ind w:firstLine="480" w:firstLineChars="200"/>
        <w:rPr>
          <w:rFonts w:cs="宋体"/>
          <w:sz w:val="24"/>
          <w:szCs w:val="24"/>
        </w:rPr>
      </w:pPr>
      <w:r>
        <w:rPr>
          <w:rFonts w:hint="eastAsia" w:cs="宋体"/>
          <w:sz w:val="24"/>
          <w:szCs w:val="24"/>
        </w:rPr>
        <w:t>1.投标方可以根据自身的技术、经验等优势以及对招标文件和本技术标书的理解，写明对招标方所采购货物的优化方案或建议意见。投标方的这些努力，招标方表示感谢，并将有助于投标方优先胜出。</w:t>
      </w:r>
    </w:p>
    <w:p>
      <w:pPr>
        <w:spacing w:line="440" w:lineRule="exact"/>
        <w:ind w:firstLine="480" w:firstLineChars="200"/>
        <w:rPr>
          <w:rFonts w:cs="宋体"/>
          <w:sz w:val="24"/>
          <w:szCs w:val="24"/>
        </w:rPr>
      </w:pPr>
      <w:r>
        <w:rPr>
          <w:rFonts w:hint="eastAsia" w:cs="宋体"/>
          <w:sz w:val="24"/>
          <w:szCs w:val="24"/>
        </w:rPr>
        <w:t>2.即使有建议意见或建议方案，仍应依据招标文件和本技术标书要求，编写符合要求的投标文件。建议方案或建议意见，应以单独篇章或文件，予以说明和报价。</w:t>
      </w:r>
    </w:p>
    <w:p>
      <w:pPr>
        <w:spacing w:line="440" w:lineRule="exact"/>
        <w:ind w:firstLine="480" w:firstLineChars="200"/>
        <w:rPr>
          <w:rFonts w:cs="宋体"/>
          <w:sz w:val="24"/>
          <w:szCs w:val="24"/>
        </w:rPr>
      </w:pPr>
      <w:r>
        <w:rPr>
          <w:rFonts w:hint="eastAsia" w:cs="宋体"/>
          <w:sz w:val="24"/>
          <w:szCs w:val="24"/>
        </w:rPr>
        <w:t>3.请投标方仔细阅读“采购货物概况”章节内说明，针对允许分投分中的货物，招标方有权利选择其中优秀设备或服务，作为投标方合同供货范围中的指定选用设备或服务（替代投标方分投而未中标部分）。</w:t>
      </w:r>
    </w:p>
    <w:p>
      <w:pPr>
        <w:spacing w:line="440" w:lineRule="exact"/>
        <w:ind w:firstLine="480" w:firstLineChars="200"/>
        <w:rPr>
          <w:rFonts w:cs="宋体"/>
          <w:sz w:val="24"/>
          <w:szCs w:val="24"/>
        </w:rPr>
      </w:pPr>
      <w:r>
        <w:rPr>
          <w:rFonts w:hint="eastAsia" w:cs="宋体"/>
          <w:sz w:val="24"/>
          <w:szCs w:val="24"/>
        </w:rPr>
        <w:t>4.招标文件、投标文件、答疑文件、技术交流文件、技术标书等，在采购过程全部为有效文件，如有差异，以对招标方最有利的条款为准。</w:t>
      </w:r>
    </w:p>
    <w:p>
      <w:pPr>
        <w:spacing w:line="440" w:lineRule="exact"/>
        <w:ind w:firstLine="480" w:firstLineChars="200"/>
        <w:rPr>
          <w:rFonts w:cs="宋体"/>
          <w:sz w:val="24"/>
          <w:szCs w:val="24"/>
        </w:rPr>
      </w:pPr>
      <w:r>
        <w:rPr>
          <w:rFonts w:hint="eastAsia" w:cs="宋体"/>
          <w:sz w:val="24"/>
          <w:szCs w:val="24"/>
        </w:rPr>
        <w:t>5.为避免歧异，本技术标书涉及招投标环节的条款，均将潜在的卖方称为投标方、将买方称为招标方；定标后合同签署环节以及后续的合同执行环节条款，招标方称为买方、投标方中的投标方称为卖方。</w:t>
      </w:r>
    </w:p>
    <w:p>
      <w:pPr>
        <w:pStyle w:val="31"/>
        <w:rPr>
          <w:rFonts w:cs="宋体"/>
          <w:sz w:val="24"/>
          <w:szCs w:val="24"/>
        </w:rPr>
      </w:pPr>
    </w:p>
    <w:p>
      <w:pPr>
        <w:pStyle w:val="32"/>
        <w:ind w:left="1747" w:firstLine="412"/>
      </w:pPr>
    </w:p>
    <w:p>
      <w:pPr>
        <w:pStyle w:val="33"/>
      </w:pPr>
    </w:p>
    <w:p>
      <w:pPr>
        <w:pStyle w:val="33"/>
      </w:pPr>
    </w:p>
    <w:p>
      <w:pPr>
        <w:pStyle w:val="3"/>
        <w:numPr>
          <w:ilvl w:val="0"/>
          <w:numId w:val="0"/>
        </w:numPr>
        <w:spacing w:before="163" w:beforeLines="50" w:line="500" w:lineRule="exact"/>
      </w:pPr>
      <w:r>
        <w:rPr>
          <w:rFonts w:hint="eastAsia"/>
        </w:rPr>
        <w:t>第四章   合同文件格式</w:t>
      </w:r>
      <w:bookmarkEnd w:id="146"/>
    </w:p>
    <w:p>
      <w:pPr>
        <w:jc w:val="center"/>
      </w:pPr>
      <w:bookmarkStart w:id="157" w:name="_Toc22557"/>
      <w:bookmarkStart w:id="158" w:name="_Toc78960831"/>
      <w:bookmarkStart w:id="159" w:name="_Toc813"/>
      <w:r>
        <w:rPr>
          <w:rFonts w:hint="eastAsia"/>
        </w:rPr>
        <w:t>（参考格式，以双方最终签署版本为准）</w:t>
      </w:r>
      <w:bookmarkEnd w:id="147"/>
      <w:bookmarkEnd w:id="148"/>
      <w:bookmarkEnd w:id="149"/>
      <w:bookmarkEnd w:id="150"/>
      <w:bookmarkEnd w:id="151"/>
      <w:bookmarkEnd w:id="157"/>
      <w:bookmarkEnd w:id="158"/>
      <w:bookmarkEnd w:id="159"/>
    </w:p>
    <w:p>
      <w:pPr>
        <w:ind w:right="-189" w:rightChars="-90"/>
        <w:jc w:val="center"/>
        <w:rPr>
          <w:b/>
          <w:iCs/>
          <w:sz w:val="40"/>
        </w:rPr>
      </w:pPr>
      <w:bookmarkStart w:id="160" w:name="_Toc7940"/>
      <w:bookmarkStart w:id="161" w:name="_Toc6640"/>
      <w:bookmarkStart w:id="162" w:name="_Toc1066"/>
      <w:r>
        <w:rPr>
          <w:rFonts w:hint="eastAsia"/>
          <w:b/>
          <w:iCs/>
          <w:sz w:val="40"/>
        </w:rPr>
        <w:t>******采购合同</w:t>
      </w:r>
      <w:bookmarkEnd w:id="160"/>
      <w:bookmarkEnd w:id="161"/>
      <w:bookmarkEnd w:id="162"/>
    </w:p>
    <w:p>
      <w:pPr>
        <w:spacing w:line="360" w:lineRule="auto"/>
        <w:jc w:val="center"/>
        <w:rPr>
          <w:rFonts w:cs="宋体"/>
          <w:bCs/>
          <w:sz w:val="24"/>
        </w:rPr>
      </w:pPr>
    </w:p>
    <w:p>
      <w:pPr>
        <w:spacing w:line="360" w:lineRule="auto"/>
        <w:ind w:right="480"/>
        <w:jc w:val="center"/>
        <w:rPr>
          <w:rFonts w:cs="宋体"/>
          <w:bCs/>
          <w:sz w:val="24"/>
          <w:u w:val="single"/>
        </w:rPr>
      </w:pPr>
      <w:r>
        <w:rPr>
          <w:rFonts w:hint="eastAsia" w:cs="宋体"/>
          <w:bCs/>
          <w:sz w:val="24"/>
        </w:rPr>
        <w:t xml:space="preserve">                                         合同编号：</w:t>
      </w:r>
      <w:r>
        <w:rPr>
          <w:rFonts w:hint="eastAsia" w:eastAsia="楷体_GB2312"/>
          <w:sz w:val="24"/>
          <w:u w:val="single"/>
        </w:rPr>
        <w:t>********</w:t>
      </w:r>
    </w:p>
    <w:p>
      <w:pPr>
        <w:spacing w:line="360" w:lineRule="auto"/>
        <w:ind w:firstLine="600" w:firstLineChars="250"/>
        <w:rPr>
          <w:rFonts w:cs="宋体"/>
          <w:bCs/>
          <w:sz w:val="24"/>
        </w:rPr>
      </w:pPr>
      <w:r>
        <w:rPr>
          <w:rFonts w:hint="eastAsia" w:cs="宋体"/>
          <w:bCs/>
          <w:sz w:val="24"/>
        </w:rPr>
        <w:t>本设备采购合同由下列双方于年月日在签订：</w:t>
      </w:r>
    </w:p>
    <w:p>
      <w:pPr>
        <w:spacing w:line="360" w:lineRule="auto"/>
        <w:rPr>
          <w:rFonts w:cs="宋体"/>
          <w:bCs/>
          <w:sz w:val="24"/>
        </w:rPr>
      </w:pPr>
      <w:r>
        <w:rPr>
          <w:rFonts w:hint="eastAsia" w:cs="宋体"/>
          <w:bCs/>
          <w:sz w:val="24"/>
        </w:rPr>
        <w:t xml:space="preserve"> 招标人：</w:t>
      </w:r>
    </w:p>
    <w:p>
      <w:pPr>
        <w:ind w:right="-189" w:rightChars="-90" w:firstLine="120" w:firstLineChars="50"/>
        <w:jc w:val="left"/>
        <w:rPr>
          <w:rFonts w:cs="宋体"/>
          <w:bCs/>
          <w:sz w:val="24"/>
          <w:u w:val="single"/>
        </w:rPr>
      </w:pPr>
      <w:r>
        <w:rPr>
          <w:rFonts w:hint="eastAsia" w:cs="宋体"/>
          <w:bCs/>
          <w:sz w:val="24"/>
        </w:rPr>
        <w:t>中标人：</w:t>
      </w:r>
    </w:p>
    <w:p>
      <w:pPr>
        <w:ind w:right="-189" w:rightChars="-90" w:firstLine="480" w:firstLineChars="200"/>
        <w:jc w:val="left"/>
        <w:rPr>
          <w:sz w:val="24"/>
        </w:rPr>
      </w:pPr>
      <w:r>
        <w:rPr>
          <w:rFonts w:hint="eastAsia"/>
          <w:sz w:val="24"/>
        </w:rPr>
        <w:t>鉴于，招标人向中标人购买项目设备 台，就该设备的设计、制造、供货、安装调试、验收及培训等有关问题，经买卖双方协商自愿达成本合同：</w:t>
      </w:r>
    </w:p>
    <w:p>
      <w:pPr>
        <w:pStyle w:val="3"/>
        <w:numPr>
          <w:ilvl w:val="0"/>
          <w:numId w:val="0"/>
        </w:numPr>
        <w:jc w:val="both"/>
        <w:rPr>
          <w:sz w:val="28"/>
        </w:rPr>
      </w:pPr>
      <w:bookmarkStart w:id="163" w:name="_Toc17815580"/>
      <w:bookmarkStart w:id="164" w:name="_Toc6561"/>
      <w:bookmarkStart w:id="165" w:name="_Toc17619"/>
      <w:bookmarkStart w:id="166" w:name="_Toc27834"/>
      <w:bookmarkStart w:id="167" w:name="_Toc20403"/>
      <w:bookmarkStart w:id="168" w:name="_Toc21167"/>
      <w:bookmarkStart w:id="169" w:name="_Toc10974"/>
      <w:bookmarkStart w:id="170" w:name="_Toc3938"/>
      <w:bookmarkStart w:id="171" w:name="_Toc11823"/>
      <w:bookmarkStart w:id="172" w:name="_Toc49506121"/>
      <w:bookmarkStart w:id="173" w:name="_Toc11930"/>
      <w:r>
        <w:rPr>
          <w:rFonts w:hint="eastAsia"/>
          <w:sz w:val="28"/>
        </w:rPr>
        <w:t>1 合同设备</w:t>
      </w:r>
      <w:bookmarkEnd w:id="163"/>
      <w:bookmarkEnd w:id="164"/>
      <w:bookmarkEnd w:id="165"/>
      <w:bookmarkEnd w:id="166"/>
      <w:bookmarkEnd w:id="167"/>
      <w:bookmarkEnd w:id="168"/>
      <w:bookmarkEnd w:id="169"/>
      <w:bookmarkEnd w:id="170"/>
      <w:bookmarkEnd w:id="171"/>
      <w:bookmarkEnd w:id="172"/>
      <w:bookmarkEnd w:id="173"/>
    </w:p>
    <w:p>
      <w:pPr>
        <w:spacing w:line="360" w:lineRule="auto"/>
        <w:rPr>
          <w:sz w:val="24"/>
        </w:rPr>
      </w:pPr>
      <w:r>
        <w:rPr>
          <w:rFonts w:hint="eastAsia"/>
          <w:sz w:val="24"/>
        </w:rPr>
        <w:t>1.1招标人向中标人购买的设备信息详见下表《合同设备一览表》，（附件一：报价明细表）主要技术参数及技术要求详见附件二：《中国重汽集团福建海西汽车有限公司网络安全边界防护项目》（以下简称技术要求）。</w:t>
      </w:r>
    </w:p>
    <w:p>
      <w:pPr>
        <w:spacing w:line="220" w:lineRule="atLeast"/>
        <w:jc w:val="center"/>
        <w:rPr>
          <w:bCs/>
          <w:sz w:val="24"/>
        </w:rPr>
      </w:pPr>
      <w:r>
        <w:rPr>
          <w:rFonts w:hint="eastAsia"/>
          <w:bCs/>
          <w:sz w:val="24"/>
        </w:rPr>
        <w:t>合同设备一览表</w:t>
      </w:r>
    </w:p>
    <w:tbl>
      <w:tblPr>
        <w:tblStyle w:val="77"/>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868"/>
        <w:gridCol w:w="1546"/>
        <w:gridCol w:w="992"/>
        <w:gridCol w:w="992"/>
        <w:gridCol w:w="1276"/>
        <w:gridCol w:w="1157"/>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22" w:type="dxa"/>
            <w:vAlign w:val="center"/>
          </w:tcPr>
          <w:p>
            <w:pPr>
              <w:spacing w:line="276" w:lineRule="auto"/>
              <w:jc w:val="center"/>
              <w:rPr>
                <w:rFonts w:cs="宋体"/>
                <w:bCs/>
                <w:sz w:val="24"/>
              </w:rPr>
            </w:pPr>
            <w:r>
              <w:rPr>
                <w:rFonts w:hint="eastAsia" w:cs="宋体"/>
                <w:bCs/>
                <w:sz w:val="24"/>
              </w:rPr>
              <w:t>序号</w:t>
            </w:r>
          </w:p>
        </w:tc>
        <w:tc>
          <w:tcPr>
            <w:tcW w:w="1868" w:type="dxa"/>
            <w:vAlign w:val="center"/>
          </w:tcPr>
          <w:p>
            <w:pPr>
              <w:spacing w:line="276" w:lineRule="auto"/>
              <w:jc w:val="center"/>
              <w:rPr>
                <w:rFonts w:cs="宋体"/>
                <w:bCs/>
                <w:sz w:val="24"/>
              </w:rPr>
            </w:pPr>
            <w:r>
              <w:rPr>
                <w:rFonts w:hint="eastAsia" w:cs="宋体"/>
                <w:bCs/>
                <w:sz w:val="24"/>
              </w:rPr>
              <w:t>名称</w:t>
            </w:r>
          </w:p>
        </w:tc>
        <w:tc>
          <w:tcPr>
            <w:tcW w:w="1546" w:type="dxa"/>
            <w:vAlign w:val="center"/>
          </w:tcPr>
          <w:p>
            <w:pPr>
              <w:spacing w:line="276" w:lineRule="auto"/>
              <w:jc w:val="center"/>
              <w:rPr>
                <w:rFonts w:cs="宋体"/>
                <w:bCs/>
                <w:sz w:val="24"/>
              </w:rPr>
            </w:pPr>
            <w:r>
              <w:rPr>
                <w:rFonts w:hint="eastAsia" w:cs="宋体"/>
                <w:bCs/>
                <w:sz w:val="24"/>
              </w:rPr>
              <w:t>规格型号</w:t>
            </w:r>
          </w:p>
        </w:tc>
        <w:tc>
          <w:tcPr>
            <w:tcW w:w="992" w:type="dxa"/>
            <w:vAlign w:val="center"/>
          </w:tcPr>
          <w:p>
            <w:pPr>
              <w:spacing w:line="276" w:lineRule="auto"/>
              <w:jc w:val="center"/>
              <w:rPr>
                <w:rFonts w:cs="宋体"/>
                <w:bCs/>
                <w:sz w:val="24"/>
              </w:rPr>
            </w:pPr>
            <w:r>
              <w:rPr>
                <w:rFonts w:hint="eastAsia" w:cs="宋体"/>
                <w:bCs/>
                <w:sz w:val="24"/>
              </w:rPr>
              <w:t>数量</w:t>
            </w:r>
          </w:p>
          <w:p>
            <w:pPr>
              <w:spacing w:line="276" w:lineRule="auto"/>
              <w:jc w:val="center"/>
              <w:rPr>
                <w:rFonts w:cs="宋体"/>
                <w:bCs/>
                <w:sz w:val="24"/>
              </w:rPr>
            </w:pPr>
            <w:r>
              <w:rPr>
                <w:rFonts w:hint="eastAsia" w:cs="宋体"/>
                <w:bCs/>
                <w:sz w:val="24"/>
              </w:rPr>
              <w:t>（台）</w:t>
            </w:r>
          </w:p>
        </w:tc>
        <w:tc>
          <w:tcPr>
            <w:tcW w:w="992" w:type="dxa"/>
            <w:vAlign w:val="center"/>
          </w:tcPr>
          <w:p>
            <w:pPr>
              <w:spacing w:line="276" w:lineRule="auto"/>
              <w:jc w:val="center"/>
              <w:rPr>
                <w:rFonts w:cs="宋体"/>
                <w:bCs/>
                <w:sz w:val="24"/>
              </w:rPr>
            </w:pPr>
            <w:r>
              <w:rPr>
                <w:rFonts w:hint="eastAsia" w:cs="宋体"/>
                <w:bCs/>
                <w:sz w:val="24"/>
              </w:rPr>
              <w:t>单价</w:t>
            </w:r>
          </w:p>
          <w:p>
            <w:pPr>
              <w:spacing w:line="276" w:lineRule="auto"/>
              <w:jc w:val="center"/>
              <w:rPr>
                <w:rFonts w:cs="宋体"/>
                <w:bCs/>
                <w:sz w:val="24"/>
              </w:rPr>
            </w:pPr>
            <w:r>
              <w:rPr>
                <w:rFonts w:hint="eastAsia" w:cs="宋体"/>
                <w:bCs/>
                <w:sz w:val="24"/>
              </w:rPr>
              <w:t>（元）</w:t>
            </w:r>
          </w:p>
        </w:tc>
        <w:tc>
          <w:tcPr>
            <w:tcW w:w="1276" w:type="dxa"/>
            <w:vAlign w:val="center"/>
          </w:tcPr>
          <w:p>
            <w:pPr>
              <w:spacing w:line="276" w:lineRule="auto"/>
              <w:jc w:val="center"/>
              <w:rPr>
                <w:rFonts w:cs="宋体"/>
                <w:bCs/>
                <w:sz w:val="24"/>
              </w:rPr>
            </w:pPr>
            <w:r>
              <w:rPr>
                <w:rFonts w:hint="eastAsia" w:cs="宋体"/>
                <w:bCs/>
                <w:sz w:val="24"/>
              </w:rPr>
              <w:t>合计</w:t>
            </w:r>
          </w:p>
          <w:p>
            <w:pPr>
              <w:spacing w:line="276" w:lineRule="auto"/>
              <w:jc w:val="center"/>
              <w:rPr>
                <w:rFonts w:cs="宋体"/>
                <w:bCs/>
                <w:sz w:val="24"/>
              </w:rPr>
            </w:pPr>
            <w:r>
              <w:rPr>
                <w:rFonts w:hint="eastAsia" w:cs="宋体"/>
                <w:bCs/>
                <w:sz w:val="24"/>
              </w:rPr>
              <w:t>（元）</w:t>
            </w:r>
          </w:p>
        </w:tc>
        <w:tc>
          <w:tcPr>
            <w:tcW w:w="1157" w:type="dxa"/>
            <w:vAlign w:val="center"/>
          </w:tcPr>
          <w:p>
            <w:pPr>
              <w:spacing w:line="276" w:lineRule="auto"/>
              <w:jc w:val="center"/>
              <w:rPr>
                <w:rFonts w:cs="宋体"/>
                <w:bCs/>
                <w:sz w:val="24"/>
              </w:rPr>
            </w:pPr>
            <w:r>
              <w:rPr>
                <w:rFonts w:hint="eastAsia" w:cs="宋体"/>
                <w:bCs/>
                <w:sz w:val="24"/>
              </w:rPr>
              <w:t>品牌</w:t>
            </w:r>
          </w:p>
        </w:tc>
        <w:tc>
          <w:tcPr>
            <w:tcW w:w="951" w:type="dxa"/>
            <w:vAlign w:val="center"/>
          </w:tcPr>
          <w:p>
            <w:pPr>
              <w:spacing w:line="276" w:lineRule="auto"/>
              <w:jc w:val="center"/>
              <w:rPr>
                <w:rFonts w:cs="宋体"/>
                <w:bCs/>
                <w:sz w:val="24"/>
              </w:rPr>
            </w:pPr>
            <w:r>
              <w:rPr>
                <w:rFonts w:hint="eastAsia" w:cs="宋体"/>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22" w:type="dxa"/>
            <w:shd w:val="clear" w:color="auto" w:fill="auto"/>
            <w:vAlign w:val="center"/>
          </w:tcPr>
          <w:p>
            <w:pPr>
              <w:spacing w:line="276" w:lineRule="auto"/>
              <w:jc w:val="center"/>
              <w:rPr>
                <w:rFonts w:cs="宋体"/>
                <w:bCs/>
                <w:sz w:val="24"/>
              </w:rPr>
            </w:pPr>
          </w:p>
        </w:tc>
        <w:tc>
          <w:tcPr>
            <w:tcW w:w="1868" w:type="dxa"/>
            <w:shd w:val="clear" w:color="auto" w:fill="FFFFFF"/>
            <w:vAlign w:val="center"/>
          </w:tcPr>
          <w:p>
            <w:pPr>
              <w:widowControl/>
              <w:spacing w:line="276" w:lineRule="auto"/>
              <w:jc w:val="left"/>
              <w:rPr>
                <w:rFonts w:cs="宋体"/>
                <w:bCs/>
                <w:sz w:val="24"/>
              </w:rPr>
            </w:pPr>
          </w:p>
        </w:tc>
        <w:tc>
          <w:tcPr>
            <w:tcW w:w="1546" w:type="dxa"/>
            <w:vAlign w:val="center"/>
          </w:tcPr>
          <w:p>
            <w:pPr>
              <w:adjustRightInd w:val="0"/>
              <w:snapToGrid w:val="0"/>
              <w:spacing w:line="312" w:lineRule="auto"/>
              <w:jc w:val="left"/>
              <w:rPr>
                <w:sz w:val="24"/>
              </w:rPr>
            </w:pPr>
          </w:p>
        </w:tc>
        <w:tc>
          <w:tcPr>
            <w:tcW w:w="992" w:type="dxa"/>
            <w:vAlign w:val="center"/>
          </w:tcPr>
          <w:p>
            <w:pPr>
              <w:overflowPunct w:val="0"/>
              <w:autoSpaceDE w:val="0"/>
              <w:autoSpaceDN w:val="0"/>
              <w:adjustRightInd w:val="0"/>
              <w:spacing w:line="276" w:lineRule="auto"/>
              <w:jc w:val="center"/>
              <w:textAlignment w:val="baseline"/>
              <w:rPr>
                <w:rFonts w:cs="宋体"/>
                <w:bCs/>
                <w:sz w:val="24"/>
              </w:rPr>
            </w:pPr>
          </w:p>
        </w:tc>
        <w:tc>
          <w:tcPr>
            <w:tcW w:w="992" w:type="dxa"/>
            <w:vAlign w:val="center"/>
          </w:tcPr>
          <w:p>
            <w:pPr>
              <w:overflowPunct w:val="0"/>
              <w:autoSpaceDE w:val="0"/>
              <w:autoSpaceDN w:val="0"/>
              <w:adjustRightInd w:val="0"/>
              <w:spacing w:line="276" w:lineRule="auto"/>
              <w:jc w:val="center"/>
              <w:textAlignment w:val="baseline"/>
              <w:rPr>
                <w:rFonts w:cs="宋体"/>
                <w:bCs/>
                <w:sz w:val="24"/>
              </w:rPr>
            </w:pPr>
          </w:p>
        </w:tc>
        <w:tc>
          <w:tcPr>
            <w:tcW w:w="1276" w:type="dxa"/>
            <w:vAlign w:val="center"/>
          </w:tcPr>
          <w:p>
            <w:pPr>
              <w:overflowPunct w:val="0"/>
              <w:autoSpaceDE w:val="0"/>
              <w:autoSpaceDN w:val="0"/>
              <w:adjustRightInd w:val="0"/>
              <w:spacing w:line="276" w:lineRule="auto"/>
              <w:jc w:val="center"/>
              <w:textAlignment w:val="baseline"/>
              <w:rPr>
                <w:rFonts w:cs="宋体"/>
                <w:bCs/>
                <w:sz w:val="24"/>
              </w:rPr>
            </w:pPr>
          </w:p>
        </w:tc>
        <w:tc>
          <w:tcPr>
            <w:tcW w:w="1157" w:type="dxa"/>
            <w:vAlign w:val="center"/>
          </w:tcPr>
          <w:p>
            <w:pPr>
              <w:overflowPunct w:val="0"/>
              <w:autoSpaceDE w:val="0"/>
              <w:autoSpaceDN w:val="0"/>
              <w:adjustRightInd w:val="0"/>
              <w:spacing w:line="276" w:lineRule="auto"/>
              <w:jc w:val="center"/>
              <w:textAlignment w:val="baseline"/>
              <w:rPr>
                <w:rFonts w:cs="宋体"/>
                <w:bCs/>
                <w:sz w:val="24"/>
              </w:rPr>
            </w:pPr>
          </w:p>
        </w:tc>
        <w:tc>
          <w:tcPr>
            <w:tcW w:w="951" w:type="dxa"/>
            <w:vAlign w:val="center"/>
          </w:tcPr>
          <w:p>
            <w:pPr>
              <w:overflowPunct w:val="0"/>
              <w:autoSpaceDE w:val="0"/>
              <w:autoSpaceDN w:val="0"/>
              <w:adjustRightInd w:val="0"/>
              <w:spacing w:line="276" w:lineRule="auto"/>
              <w:jc w:val="center"/>
              <w:textAlignment w:val="baseline"/>
              <w:rPr>
                <w:rFonts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936" w:type="dxa"/>
            <w:gridSpan w:val="3"/>
            <w:vAlign w:val="center"/>
          </w:tcPr>
          <w:p>
            <w:pPr>
              <w:spacing w:line="276" w:lineRule="auto"/>
              <w:jc w:val="center"/>
              <w:rPr>
                <w:rFonts w:cs="宋体"/>
                <w:bCs/>
                <w:sz w:val="24"/>
              </w:rPr>
            </w:pPr>
            <w:r>
              <w:rPr>
                <w:rFonts w:hint="eastAsia" w:cs="宋体"/>
                <w:bCs/>
                <w:sz w:val="24"/>
              </w:rPr>
              <w:t>合   计</w:t>
            </w:r>
          </w:p>
        </w:tc>
        <w:tc>
          <w:tcPr>
            <w:tcW w:w="5368" w:type="dxa"/>
            <w:gridSpan w:val="5"/>
            <w:vAlign w:val="center"/>
          </w:tcPr>
          <w:p>
            <w:pPr>
              <w:overflowPunct w:val="0"/>
              <w:autoSpaceDE w:val="0"/>
              <w:autoSpaceDN w:val="0"/>
              <w:adjustRightInd w:val="0"/>
              <w:spacing w:line="276" w:lineRule="auto"/>
              <w:jc w:val="center"/>
              <w:textAlignment w:val="baseline"/>
              <w:rPr>
                <w:rFonts w:cs="宋体"/>
                <w:bCs/>
                <w:sz w:val="24"/>
              </w:rPr>
            </w:pPr>
            <w:r>
              <w:rPr>
                <w:rFonts w:hint="eastAsia" w:cs="宋体"/>
                <w:bCs/>
                <w:sz w:val="24"/>
              </w:rPr>
              <w:t xml:space="preserve"> 元整（¥</w:t>
            </w:r>
            <w:r>
              <w:rPr>
                <w:rFonts w:hint="eastAsia" w:cs="宋体"/>
                <w:b/>
                <w:bCs/>
                <w:sz w:val="24"/>
              </w:rPr>
              <w:t xml:space="preserve"> </w:t>
            </w:r>
            <w:r>
              <w:rPr>
                <w:rFonts w:hint="eastAsia" w:cs="宋体"/>
                <w:bCs/>
                <w:sz w:val="24"/>
              </w:rPr>
              <w:t>）</w:t>
            </w:r>
          </w:p>
        </w:tc>
      </w:tr>
    </w:tbl>
    <w:p>
      <w:pPr>
        <w:spacing w:line="360" w:lineRule="auto"/>
        <w:rPr>
          <w:sz w:val="24"/>
        </w:rPr>
      </w:pPr>
      <w:r>
        <w:rPr>
          <w:rFonts w:hint="eastAsia"/>
          <w:sz w:val="24"/>
        </w:rPr>
        <w:t>1.2技术规格和标准</w:t>
      </w:r>
    </w:p>
    <w:p>
      <w:pPr>
        <w:spacing w:line="360" w:lineRule="auto"/>
        <w:rPr>
          <w:sz w:val="24"/>
        </w:rPr>
      </w:pPr>
      <w:r>
        <w:rPr>
          <w:rFonts w:hint="eastAsia"/>
          <w:sz w:val="24"/>
        </w:rPr>
        <w:t>1.2.1本合同约定设备的技术规格详见：《技术要求》。</w:t>
      </w:r>
    </w:p>
    <w:p>
      <w:pPr>
        <w:spacing w:line="360" w:lineRule="auto"/>
        <w:rPr>
          <w:sz w:val="24"/>
        </w:rPr>
      </w:pPr>
      <w:r>
        <w:rPr>
          <w:rFonts w:hint="eastAsia"/>
          <w:sz w:val="24"/>
        </w:rPr>
        <w:t>1.2.2本合同约定设备的技术规格应与《技术要求》中规定的相应标准一致。若《技术要求》无相应规定或未签署《技术要求》，设备的技术规格则应符合相应的国家标准、其原产地国家有关部门最新颁布的相应正式标准、招标人招标文件及中标人一切书面承诺中要求的技术标准。</w:t>
      </w:r>
    </w:p>
    <w:p>
      <w:pPr>
        <w:spacing w:line="360" w:lineRule="auto"/>
        <w:rPr>
          <w:sz w:val="24"/>
        </w:rPr>
      </w:pPr>
      <w:r>
        <w:rPr>
          <w:rFonts w:hint="eastAsia"/>
          <w:sz w:val="24"/>
        </w:rPr>
        <w:t>1.3在设备所有权转移到招标人之前，有关设备的保险由中标人负责办理并承担保险费用。</w:t>
      </w:r>
    </w:p>
    <w:p>
      <w:pPr>
        <w:pStyle w:val="3"/>
        <w:numPr>
          <w:ilvl w:val="0"/>
          <w:numId w:val="0"/>
        </w:numPr>
        <w:jc w:val="both"/>
        <w:rPr>
          <w:sz w:val="28"/>
        </w:rPr>
      </w:pPr>
      <w:bookmarkStart w:id="174" w:name="_Toc19213"/>
      <w:bookmarkStart w:id="175" w:name="_Toc28100"/>
      <w:bookmarkStart w:id="176" w:name="_Toc19007"/>
      <w:bookmarkStart w:id="177" w:name="_Toc17815581"/>
      <w:bookmarkStart w:id="178" w:name="_Toc32510"/>
      <w:bookmarkStart w:id="179" w:name="_Toc15337"/>
      <w:bookmarkStart w:id="180" w:name="_Toc1749"/>
      <w:bookmarkStart w:id="181" w:name="_Toc49506122"/>
      <w:bookmarkStart w:id="182" w:name="_Toc22800"/>
      <w:bookmarkStart w:id="183" w:name="_Toc18481"/>
      <w:bookmarkStart w:id="184" w:name="_Toc29026"/>
      <w:r>
        <w:rPr>
          <w:rFonts w:hint="eastAsia"/>
          <w:sz w:val="28"/>
        </w:rPr>
        <w:t>2 包装</w:t>
      </w:r>
      <w:bookmarkEnd w:id="174"/>
      <w:bookmarkEnd w:id="175"/>
      <w:bookmarkEnd w:id="176"/>
      <w:bookmarkEnd w:id="177"/>
      <w:bookmarkEnd w:id="178"/>
      <w:bookmarkEnd w:id="179"/>
      <w:bookmarkEnd w:id="180"/>
      <w:bookmarkEnd w:id="181"/>
      <w:bookmarkEnd w:id="182"/>
      <w:bookmarkEnd w:id="183"/>
      <w:bookmarkEnd w:id="184"/>
    </w:p>
    <w:p>
      <w:pPr>
        <w:spacing w:line="360" w:lineRule="auto"/>
        <w:rPr>
          <w:sz w:val="24"/>
        </w:rPr>
      </w:pPr>
      <w:r>
        <w:rPr>
          <w:rFonts w:hint="eastAsia"/>
          <w:sz w:val="24"/>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中标人应承担由于其包装、防护不妥而引起的设备锈蚀、损坏、丢失等任何损失的责任和费用。</w:t>
      </w:r>
    </w:p>
    <w:p>
      <w:pPr>
        <w:spacing w:line="360" w:lineRule="auto"/>
        <w:rPr>
          <w:sz w:val="24"/>
        </w:rPr>
      </w:pPr>
      <w:r>
        <w:rPr>
          <w:rFonts w:hint="eastAsia"/>
          <w:sz w:val="24"/>
        </w:rPr>
        <w:t>2.2每件包装应附有详细的装箱单和质量证书各两套，一套在包装箱里，一套在包装箱外。</w:t>
      </w:r>
    </w:p>
    <w:p>
      <w:pPr>
        <w:pStyle w:val="3"/>
        <w:numPr>
          <w:ilvl w:val="0"/>
          <w:numId w:val="0"/>
        </w:numPr>
        <w:jc w:val="both"/>
        <w:rPr>
          <w:sz w:val="28"/>
        </w:rPr>
      </w:pPr>
      <w:bookmarkStart w:id="185" w:name="_Toc27144"/>
      <w:bookmarkStart w:id="186" w:name="_Toc20402"/>
      <w:bookmarkStart w:id="187" w:name="_Toc17513"/>
      <w:bookmarkStart w:id="188" w:name="_Toc17815582"/>
      <w:bookmarkStart w:id="189" w:name="_Toc11062"/>
      <w:bookmarkStart w:id="190" w:name="_Toc49506123"/>
      <w:bookmarkStart w:id="191" w:name="_Toc24698"/>
      <w:bookmarkStart w:id="192" w:name="_Toc2200"/>
      <w:bookmarkStart w:id="193" w:name="_Toc2833"/>
      <w:bookmarkStart w:id="194" w:name="_Toc27453"/>
      <w:bookmarkStart w:id="195" w:name="_Toc22307"/>
      <w:r>
        <w:rPr>
          <w:rFonts w:hint="eastAsia"/>
          <w:sz w:val="28"/>
        </w:rPr>
        <w:t>3 运输标记</w:t>
      </w:r>
      <w:bookmarkEnd w:id="185"/>
      <w:bookmarkEnd w:id="186"/>
      <w:bookmarkEnd w:id="187"/>
      <w:bookmarkEnd w:id="188"/>
      <w:bookmarkEnd w:id="189"/>
      <w:bookmarkEnd w:id="190"/>
      <w:bookmarkEnd w:id="191"/>
      <w:bookmarkEnd w:id="192"/>
      <w:bookmarkEnd w:id="193"/>
      <w:bookmarkEnd w:id="194"/>
      <w:bookmarkEnd w:id="195"/>
    </w:p>
    <w:p>
      <w:pPr>
        <w:spacing w:line="360" w:lineRule="auto"/>
        <w:rPr>
          <w:sz w:val="24"/>
        </w:rPr>
      </w:pPr>
      <w:r>
        <w:rPr>
          <w:rFonts w:hint="eastAsia"/>
          <w:sz w:val="24"/>
        </w:rPr>
        <w:t>3.1中标人应在每一包装箱邻近的四个侧面用不易褪色的油漆以醒目的中文印刷字体标明以下各项：</w:t>
      </w:r>
    </w:p>
    <w:p>
      <w:pPr>
        <w:spacing w:line="360" w:lineRule="auto"/>
        <w:rPr>
          <w:sz w:val="24"/>
        </w:rPr>
      </w:pPr>
      <w:r>
        <w:rPr>
          <w:rFonts w:hint="eastAsia"/>
          <w:sz w:val="24"/>
        </w:rPr>
        <w:t>3.1.1收货人</w:t>
      </w:r>
    </w:p>
    <w:p>
      <w:pPr>
        <w:spacing w:line="360" w:lineRule="auto"/>
        <w:rPr>
          <w:sz w:val="24"/>
        </w:rPr>
      </w:pPr>
      <w:r>
        <w:rPr>
          <w:rFonts w:hint="eastAsia"/>
          <w:sz w:val="24"/>
        </w:rPr>
        <w:t>3.1.2合同号</w:t>
      </w:r>
    </w:p>
    <w:p>
      <w:pPr>
        <w:spacing w:line="360" w:lineRule="auto"/>
        <w:rPr>
          <w:sz w:val="24"/>
        </w:rPr>
      </w:pPr>
      <w:r>
        <w:rPr>
          <w:rFonts w:hint="eastAsia"/>
          <w:sz w:val="24"/>
        </w:rPr>
        <w:t>3.1.3发货标记（唛头）</w:t>
      </w:r>
    </w:p>
    <w:p>
      <w:pPr>
        <w:spacing w:line="360" w:lineRule="auto"/>
        <w:rPr>
          <w:sz w:val="24"/>
        </w:rPr>
      </w:pPr>
      <w:r>
        <w:rPr>
          <w:rFonts w:hint="eastAsia"/>
          <w:sz w:val="24"/>
        </w:rPr>
        <w:t>3.1.4设备的名称、品目号、箱号</w:t>
      </w:r>
    </w:p>
    <w:p>
      <w:pPr>
        <w:spacing w:line="360" w:lineRule="auto"/>
        <w:rPr>
          <w:sz w:val="24"/>
        </w:rPr>
      </w:pPr>
      <w:r>
        <w:rPr>
          <w:rFonts w:hint="eastAsia"/>
          <w:sz w:val="24"/>
        </w:rPr>
        <w:t>3.1.5毛重/净重（公斤）</w:t>
      </w:r>
    </w:p>
    <w:p>
      <w:pPr>
        <w:spacing w:line="360" w:lineRule="auto"/>
        <w:rPr>
          <w:sz w:val="24"/>
        </w:rPr>
      </w:pPr>
      <w:r>
        <w:rPr>
          <w:rFonts w:hint="eastAsia"/>
          <w:sz w:val="24"/>
        </w:rPr>
        <w:t>3.1.6尺寸（长×宽×高，以厘米计）</w:t>
      </w:r>
    </w:p>
    <w:p>
      <w:pPr>
        <w:spacing w:line="360" w:lineRule="auto"/>
        <w:rPr>
          <w:sz w:val="24"/>
        </w:rPr>
      </w:pPr>
      <w:r>
        <w:rPr>
          <w:rFonts w:hint="eastAsia"/>
          <w:sz w:val="24"/>
        </w:rPr>
        <w:t>3.2根据设备的特点和运输的不同要求，中标人应在每件包装箱的两侧以国内贸易相宜的运输标志标明“重心”和“吊装点”，并以清晰的字样在包装箱上注明“小心轻放”、“勿倒置”、“防潮”等适当的标志，以方便装卸和搬运。</w:t>
      </w:r>
    </w:p>
    <w:p>
      <w:pPr>
        <w:pStyle w:val="3"/>
        <w:numPr>
          <w:ilvl w:val="0"/>
          <w:numId w:val="0"/>
        </w:numPr>
        <w:jc w:val="both"/>
        <w:rPr>
          <w:sz w:val="28"/>
        </w:rPr>
      </w:pPr>
      <w:bookmarkStart w:id="196" w:name="_Toc7431"/>
      <w:bookmarkStart w:id="197" w:name="_Toc30990"/>
      <w:bookmarkStart w:id="198" w:name="_Toc10630"/>
      <w:bookmarkStart w:id="199" w:name="_Toc3287"/>
      <w:bookmarkStart w:id="200" w:name="_Toc10492"/>
      <w:bookmarkStart w:id="201" w:name="_Toc16133"/>
      <w:bookmarkStart w:id="202" w:name="_Toc17815583"/>
      <w:bookmarkStart w:id="203" w:name="_Toc14424"/>
      <w:bookmarkStart w:id="204" w:name="_Toc49506124"/>
      <w:bookmarkStart w:id="205" w:name="_Toc6542"/>
      <w:bookmarkStart w:id="206" w:name="_Toc16088"/>
      <w:r>
        <w:rPr>
          <w:rFonts w:hint="eastAsia"/>
          <w:sz w:val="28"/>
        </w:rPr>
        <w:t>4 检验</w:t>
      </w:r>
      <w:bookmarkEnd w:id="196"/>
      <w:bookmarkEnd w:id="197"/>
      <w:bookmarkEnd w:id="198"/>
      <w:bookmarkEnd w:id="199"/>
      <w:bookmarkEnd w:id="200"/>
      <w:bookmarkEnd w:id="201"/>
      <w:bookmarkEnd w:id="202"/>
      <w:bookmarkEnd w:id="203"/>
      <w:bookmarkEnd w:id="204"/>
      <w:bookmarkEnd w:id="205"/>
      <w:bookmarkEnd w:id="206"/>
    </w:p>
    <w:p>
      <w:pPr>
        <w:spacing w:line="360" w:lineRule="auto"/>
        <w:rPr>
          <w:sz w:val="24"/>
        </w:rPr>
      </w:pPr>
      <w:r>
        <w:rPr>
          <w:rFonts w:hint="eastAsia"/>
          <w:sz w:val="24"/>
        </w:rPr>
        <w:t>4.1中标人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招标人按照《技术要求》和相关标准进行检验，检验合格后，招标人签署最终验收报告。</w:t>
      </w:r>
    </w:p>
    <w:p>
      <w:pPr>
        <w:spacing w:line="360" w:lineRule="auto"/>
        <w:rPr>
          <w:sz w:val="24"/>
        </w:rPr>
      </w:pPr>
      <w:r>
        <w:rPr>
          <w:rFonts w:hint="eastAsia"/>
          <w:sz w:val="24"/>
        </w:rPr>
        <w:t>4.2国家强制检验检测的设备，需要经过国家有关部门进行检验检测，中标人保证提供的设备通过其检验并承担费用。</w:t>
      </w:r>
    </w:p>
    <w:p>
      <w:pPr>
        <w:pStyle w:val="3"/>
        <w:numPr>
          <w:ilvl w:val="0"/>
          <w:numId w:val="0"/>
        </w:numPr>
        <w:jc w:val="both"/>
        <w:rPr>
          <w:sz w:val="28"/>
        </w:rPr>
      </w:pPr>
      <w:bookmarkStart w:id="207" w:name="_Toc17616"/>
      <w:bookmarkStart w:id="208" w:name="_Toc19850"/>
      <w:bookmarkStart w:id="209" w:name="_Toc17815584"/>
      <w:bookmarkStart w:id="210" w:name="_Toc49506125"/>
      <w:bookmarkStart w:id="211" w:name="_Toc24467"/>
      <w:bookmarkStart w:id="212" w:name="_Toc11217"/>
      <w:bookmarkStart w:id="213" w:name="_Toc21496"/>
      <w:bookmarkStart w:id="214" w:name="_Toc21804"/>
      <w:bookmarkStart w:id="215" w:name="_Toc15094"/>
      <w:bookmarkStart w:id="216" w:name="_Toc23586"/>
      <w:bookmarkStart w:id="217" w:name="_Toc30486"/>
      <w:r>
        <w:rPr>
          <w:rFonts w:hint="eastAsia"/>
          <w:sz w:val="28"/>
        </w:rPr>
        <w:t>5 权利担保</w:t>
      </w:r>
      <w:bookmarkEnd w:id="207"/>
      <w:bookmarkEnd w:id="208"/>
      <w:bookmarkEnd w:id="209"/>
      <w:bookmarkEnd w:id="210"/>
      <w:bookmarkEnd w:id="211"/>
      <w:bookmarkEnd w:id="212"/>
      <w:bookmarkEnd w:id="213"/>
      <w:bookmarkEnd w:id="214"/>
      <w:bookmarkEnd w:id="215"/>
      <w:bookmarkEnd w:id="216"/>
      <w:bookmarkEnd w:id="217"/>
    </w:p>
    <w:p>
      <w:pPr>
        <w:spacing w:line="360" w:lineRule="auto"/>
        <w:rPr>
          <w:sz w:val="24"/>
        </w:rPr>
      </w:pPr>
      <w:r>
        <w:rPr>
          <w:rFonts w:hint="eastAsia"/>
          <w:sz w:val="24"/>
        </w:rPr>
        <w:t>5.1中标人所交付的设备，必须是第三方不能提出任何权利或要求的设备，中标人应担保设备不存在订立本合同时不为招标人所知的第三方的权利（包括但不限于抵押权、留置权等）或行政、司法查封。</w:t>
      </w:r>
    </w:p>
    <w:p>
      <w:pPr>
        <w:spacing w:line="360" w:lineRule="auto"/>
        <w:rPr>
          <w:sz w:val="24"/>
        </w:rPr>
      </w:pPr>
      <w:r>
        <w:rPr>
          <w:rFonts w:hint="eastAsia"/>
          <w:sz w:val="24"/>
        </w:rPr>
        <w:t>5.2中标人应保证第三方对其提交的设备不得以侵权或其他类似理由提出合法要求，如侵犯知识产权等。</w:t>
      </w:r>
    </w:p>
    <w:p>
      <w:pPr>
        <w:spacing w:line="360" w:lineRule="auto"/>
        <w:rPr>
          <w:sz w:val="24"/>
        </w:rPr>
      </w:pPr>
      <w:r>
        <w:rPr>
          <w:rFonts w:hint="eastAsia"/>
          <w:sz w:val="24"/>
        </w:rPr>
        <w:t>5.3任何第三方如果提出侵权指控，中标人应与第三方交涉，并承担由此引起的一切法律责任和费用以及给招标人所造成的损失。</w:t>
      </w:r>
    </w:p>
    <w:p>
      <w:pPr>
        <w:spacing w:line="360" w:lineRule="auto"/>
        <w:rPr>
          <w:sz w:val="24"/>
        </w:rPr>
      </w:pPr>
      <w:r>
        <w:rPr>
          <w:rFonts w:hint="eastAsia"/>
          <w:sz w:val="24"/>
        </w:rPr>
        <w:t>5.4招标人应在已知道第三方的权利或要求后的一段合理时间内，将此权利或要求的性质通知中标人。</w:t>
      </w:r>
    </w:p>
    <w:p>
      <w:pPr>
        <w:spacing w:line="360" w:lineRule="auto"/>
        <w:rPr>
          <w:sz w:val="24"/>
        </w:rPr>
      </w:pPr>
      <w:r>
        <w:rPr>
          <w:rFonts w:hint="eastAsia"/>
          <w:sz w:val="24"/>
        </w:rPr>
        <w:t>5.5如中标人需要根据招标人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招标人、招标人母公司或母公司其他关联方所有。</w:t>
      </w:r>
    </w:p>
    <w:p>
      <w:pPr>
        <w:pStyle w:val="3"/>
        <w:numPr>
          <w:ilvl w:val="0"/>
          <w:numId w:val="0"/>
        </w:numPr>
        <w:jc w:val="both"/>
        <w:rPr>
          <w:sz w:val="28"/>
        </w:rPr>
      </w:pPr>
      <w:bookmarkStart w:id="218" w:name="_Toc17815585"/>
      <w:bookmarkStart w:id="219" w:name="_Toc11659"/>
      <w:bookmarkStart w:id="220" w:name="_Toc11759"/>
      <w:bookmarkStart w:id="221" w:name="_Toc5209"/>
      <w:bookmarkStart w:id="222" w:name="_Toc13266"/>
      <w:bookmarkStart w:id="223" w:name="_Toc49506126"/>
      <w:bookmarkStart w:id="224" w:name="_Toc28921"/>
      <w:bookmarkStart w:id="225" w:name="_Toc19328"/>
      <w:bookmarkStart w:id="226" w:name="_Toc14809"/>
      <w:bookmarkStart w:id="227" w:name="_Toc28005"/>
      <w:bookmarkStart w:id="228" w:name="_Toc27500"/>
      <w:r>
        <w:rPr>
          <w:rFonts w:hint="eastAsia"/>
          <w:sz w:val="28"/>
        </w:rPr>
        <w:t>6 交货</w:t>
      </w:r>
      <w:bookmarkEnd w:id="218"/>
      <w:bookmarkEnd w:id="219"/>
      <w:bookmarkEnd w:id="220"/>
      <w:bookmarkEnd w:id="221"/>
      <w:bookmarkEnd w:id="222"/>
      <w:bookmarkEnd w:id="223"/>
      <w:bookmarkEnd w:id="224"/>
      <w:bookmarkEnd w:id="225"/>
      <w:bookmarkEnd w:id="226"/>
      <w:bookmarkEnd w:id="227"/>
      <w:bookmarkEnd w:id="228"/>
    </w:p>
    <w:p>
      <w:pPr>
        <w:spacing w:line="360" w:lineRule="auto"/>
        <w:rPr>
          <w:sz w:val="24"/>
        </w:rPr>
      </w:pPr>
      <w:r>
        <w:rPr>
          <w:rFonts w:hint="eastAsia"/>
          <w:sz w:val="24"/>
        </w:rPr>
        <w:t>6.1中标人应在本合同规定的到货时间前传真、邮件等给招标人详细交货清单，包括合同号、设备名称、规格、数量、总毛重、总体积（立方米）和每一包装箱的尺寸（长×宽×高）、单价和总价、备妥待运日期，以及设备在运输和仓储中的特殊要求和注意事项。</w:t>
      </w:r>
    </w:p>
    <w:p>
      <w:pPr>
        <w:spacing w:line="360" w:lineRule="auto"/>
        <w:rPr>
          <w:sz w:val="24"/>
        </w:rPr>
      </w:pPr>
      <w:r>
        <w:rPr>
          <w:rFonts w:hint="eastAsia"/>
          <w:sz w:val="24"/>
        </w:rPr>
        <w:t>6.2中标人应在设备装运完成后当天以传真、邮件等的形式通知招标人合同号、设备名称、数量、毛重、体积（立方米）、发票金额、启运日期、预计到达日期。</w:t>
      </w:r>
    </w:p>
    <w:p>
      <w:pPr>
        <w:spacing w:line="360" w:lineRule="auto"/>
        <w:rPr>
          <w:sz w:val="24"/>
        </w:rPr>
      </w:pPr>
      <w:r>
        <w:rPr>
          <w:rFonts w:hint="eastAsia"/>
          <w:sz w:val="24"/>
        </w:rPr>
        <w:t>6.3技术资料。签订本合同后，中标人应按招标人要求免费提供给招标人包括但不限于：设备总装图、安装尺寸图、设备基础图、操作手册、使用说明、维修指南、服务手册等招标人所需要的、与执行本合同有关的各类资料。如上述资料未按招标人要求交付的，招标人有权拒绝对合同设备验收（包括预验收和最终验收），并且中标人应赔偿因此给招标人造成的一切损失。</w:t>
      </w:r>
    </w:p>
    <w:p>
      <w:pPr>
        <w:spacing w:line="360" w:lineRule="auto"/>
        <w:rPr>
          <w:sz w:val="24"/>
        </w:rPr>
      </w:pPr>
      <w:r>
        <w:rPr>
          <w:rFonts w:hint="eastAsia"/>
          <w:sz w:val="24"/>
        </w:rPr>
        <w:t>6.4交货方式：</w:t>
      </w:r>
      <w:r>
        <w:rPr>
          <w:rFonts w:hint="eastAsia"/>
          <w:sz w:val="24"/>
          <w:u w:val="single"/>
        </w:rPr>
        <w:t xml:space="preserve">    6.4.1   </w:t>
      </w:r>
    </w:p>
    <w:p>
      <w:pPr>
        <w:spacing w:line="360" w:lineRule="auto"/>
        <w:rPr>
          <w:sz w:val="24"/>
        </w:rPr>
      </w:pPr>
      <w:r>
        <w:rPr>
          <w:rFonts w:hint="eastAsia"/>
          <w:sz w:val="24"/>
        </w:rPr>
        <w:t>6.4.1交钥匙方式：中标人负责合同设备的设计、制造、运输、卸载、安装、调试、试运行、验收以及培训等直至达到招标人的各项要求并交付使用。</w:t>
      </w:r>
    </w:p>
    <w:p>
      <w:pPr>
        <w:spacing w:line="360" w:lineRule="auto"/>
        <w:rPr>
          <w:sz w:val="24"/>
        </w:rPr>
      </w:pPr>
      <w:r>
        <w:rPr>
          <w:rFonts w:hint="eastAsia"/>
          <w:sz w:val="24"/>
        </w:rPr>
        <w:t>6.4.2指定地点交货：中标人依照合同约定将合同设备卸载至约定地点，双方完成交付手续。</w:t>
      </w:r>
    </w:p>
    <w:p>
      <w:pPr>
        <w:spacing w:line="360" w:lineRule="auto"/>
        <w:rPr>
          <w:sz w:val="24"/>
        </w:rPr>
      </w:pPr>
      <w:r>
        <w:rPr>
          <w:rFonts w:hint="eastAsia"/>
          <w:sz w:val="24"/>
        </w:rPr>
        <w:t>6.4.3自提：招标人依照合同约定到中标人所在地提取合同设备，双方完成交付手续。</w:t>
      </w:r>
    </w:p>
    <w:p>
      <w:pPr>
        <w:spacing w:line="360" w:lineRule="auto"/>
        <w:rPr>
          <w:sz w:val="24"/>
        </w:rPr>
      </w:pPr>
      <w:r>
        <w:rPr>
          <w:rFonts w:hint="eastAsia"/>
          <w:sz w:val="24"/>
        </w:rPr>
        <w:t>6.5交货地点：</w:t>
      </w:r>
    </w:p>
    <w:p>
      <w:pPr>
        <w:spacing w:line="360" w:lineRule="auto"/>
        <w:rPr>
          <w:sz w:val="24"/>
        </w:rPr>
      </w:pPr>
      <w:r>
        <w:rPr>
          <w:rFonts w:hint="eastAsia"/>
          <w:sz w:val="24"/>
        </w:rPr>
        <w:t>6.6到货时间：</w:t>
      </w:r>
    </w:p>
    <w:p>
      <w:pPr>
        <w:spacing w:line="360" w:lineRule="auto"/>
        <w:rPr>
          <w:sz w:val="24"/>
        </w:rPr>
      </w:pPr>
      <w:r>
        <w:rPr>
          <w:rFonts w:hint="eastAsia"/>
          <w:sz w:val="24"/>
        </w:rPr>
        <w:t>6.7到货后，买卖双方代表办理移交手续，此时的移交不代表中标人合同设备所有权的转移，合同设备的保管责任仍然由中标人承担。移交内容包括：合同设备、硬件、软件、图纸、资料、质量证明文件等。</w:t>
      </w:r>
    </w:p>
    <w:p>
      <w:pPr>
        <w:spacing w:line="360" w:lineRule="auto"/>
        <w:rPr>
          <w:sz w:val="24"/>
        </w:rPr>
      </w:pPr>
      <w:r>
        <w:rPr>
          <w:rFonts w:hint="eastAsia"/>
          <w:sz w:val="24"/>
        </w:rPr>
        <w:t>6.8如果中标人在规定的日期前交付设备，需经招标人书面同意。</w:t>
      </w:r>
    </w:p>
    <w:p>
      <w:pPr>
        <w:spacing w:line="360" w:lineRule="auto"/>
        <w:rPr>
          <w:sz w:val="24"/>
        </w:rPr>
      </w:pPr>
      <w:r>
        <w:rPr>
          <w:rFonts w:hint="eastAsia"/>
          <w:sz w:val="24"/>
        </w:rPr>
        <w:t>6.9风险的转移。在依据本合同7.1条约定对设备最终验收合格后，设备所有权由中标人转移至招标人。如果在对该设备进行最终验收之前，中标人被解散、破产、收购等，其接收方应无条件承担该合同的所有责任和义务，且中标人应自出现上述事项之日起一个月内书面通知招标人，如招标人没有收到明确责任义务的书面通知，则该设备所有权自动由中标人转移至招标人，余款作为该设备的后续质量维护费用，招标人无须再支付给中标人，但此时设备所有权的转移并不能解除接收方的责任义务。</w:t>
      </w:r>
    </w:p>
    <w:p>
      <w:pPr>
        <w:spacing w:line="360" w:lineRule="auto"/>
        <w:rPr>
          <w:sz w:val="24"/>
        </w:rPr>
      </w:pPr>
      <w:r>
        <w:rPr>
          <w:rFonts w:hint="eastAsia"/>
          <w:sz w:val="24"/>
        </w:rPr>
        <w:t>在设备所有权转移之前，设备毁损、灭失等风险由中标人承担。</w:t>
      </w:r>
    </w:p>
    <w:p>
      <w:pPr>
        <w:pStyle w:val="3"/>
        <w:numPr>
          <w:ilvl w:val="0"/>
          <w:numId w:val="0"/>
        </w:numPr>
        <w:jc w:val="both"/>
        <w:rPr>
          <w:sz w:val="28"/>
        </w:rPr>
      </w:pPr>
      <w:bookmarkStart w:id="229" w:name="_Toc16268"/>
      <w:bookmarkStart w:id="230" w:name="_Toc7189"/>
      <w:bookmarkStart w:id="231" w:name="_Toc8024"/>
      <w:bookmarkStart w:id="232" w:name="_Toc25253"/>
      <w:bookmarkStart w:id="233" w:name="_Toc2984"/>
      <w:bookmarkStart w:id="234" w:name="_Toc17329"/>
      <w:bookmarkStart w:id="235" w:name="_Toc10727"/>
      <w:bookmarkStart w:id="236" w:name="_Toc17815586"/>
      <w:bookmarkStart w:id="237" w:name="_Toc49506127"/>
      <w:bookmarkStart w:id="238" w:name="_Toc25510"/>
      <w:bookmarkStart w:id="239" w:name="_Toc4178"/>
      <w:r>
        <w:rPr>
          <w:rFonts w:hint="eastAsia"/>
          <w:sz w:val="28"/>
        </w:rPr>
        <w:t>7 安装、调试</w:t>
      </w:r>
      <w:bookmarkEnd w:id="229"/>
      <w:bookmarkEnd w:id="230"/>
      <w:bookmarkEnd w:id="231"/>
      <w:bookmarkEnd w:id="232"/>
      <w:bookmarkEnd w:id="233"/>
      <w:bookmarkEnd w:id="234"/>
      <w:bookmarkEnd w:id="235"/>
      <w:bookmarkEnd w:id="236"/>
      <w:bookmarkEnd w:id="237"/>
      <w:bookmarkEnd w:id="238"/>
      <w:bookmarkEnd w:id="239"/>
    </w:p>
    <w:p>
      <w:pPr>
        <w:pStyle w:val="26"/>
        <w:rPr>
          <w:sz w:val="24"/>
        </w:rPr>
      </w:pPr>
      <w:r>
        <w:rPr>
          <w:rFonts w:hint="eastAsia"/>
          <w:sz w:val="24"/>
        </w:rPr>
        <w:t>7.1 中标人须在到货后日内安装调试完成并通过政府环保部门的验收。</w:t>
      </w:r>
    </w:p>
    <w:p>
      <w:pPr>
        <w:spacing w:line="360" w:lineRule="auto"/>
        <w:rPr>
          <w:sz w:val="24"/>
        </w:rPr>
      </w:pPr>
      <w:r>
        <w:rPr>
          <w:rFonts w:hint="eastAsia"/>
          <w:sz w:val="24"/>
        </w:rPr>
        <w:t>7.2中标人应自带用以安装、调试过程中所需的各种工具、仪器、仪表及易损件。在安装、调试过程中，中标人应自负其工作人员的食宿、交通等费用。</w:t>
      </w:r>
    </w:p>
    <w:p>
      <w:pPr>
        <w:spacing w:line="360" w:lineRule="auto"/>
        <w:rPr>
          <w:sz w:val="24"/>
        </w:rPr>
      </w:pPr>
      <w:r>
        <w:rPr>
          <w:rFonts w:hint="eastAsia"/>
          <w:sz w:val="24"/>
        </w:rPr>
        <w:t>7.3在安装、调试过程中，安装场地及施工人员安全，由中标人负责。由于安装、调试等原因造成招标人或他人人身损害或财产损失的，由中标人承担赔偿责任。</w:t>
      </w:r>
    </w:p>
    <w:p>
      <w:pPr>
        <w:spacing w:line="360" w:lineRule="auto"/>
        <w:rPr>
          <w:sz w:val="24"/>
        </w:rPr>
      </w:pPr>
      <w:r>
        <w:rPr>
          <w:rFonts w:hint="eastAsia"/>
          <w:sz w:val="24"/>
        </w:rPr>
        <w:t>7.4中标人须对安装、调试过程中造成的招标人或他人人身损害或财产损失承担赔偿责任。</w:t>
      </w:r>
    </w:p>
    <w:p>
      <w:pPr>
        <w:pStyle w:val="3"/>
        <w:numPr>
          <w:ilvl w:val="0"/>
          <w:numId w:val="0"/>
        </w:numPr>
        <w:jc w:val="both"/>
        <w:rPr>
          <w:sz w:val="28"/>
        </w:rPr>
      </w:pPr>
      <w:bookmarkStart w:id="240" w:name="_Toc14260"/>
      <w:bookmarkStart w:id="241" w:name="_Toc49506128"/>
      <w:bookmarkStart w:id="242" w:name="_Toc9918"/>
      <w:bookmarkStart w:id="243" w:name="_Toc12566"/>
      <w:bookmarkStart w:id="244" w:name="_Toc11751"/>
      <w:bookmarkStart w:id="245" w:name="_Toc25877"/>
      <w:bookmarkStart w:id="246" w:name="_Toc20011"/>
      <w:bookmarkStart w:id="247" w:name="_Toc25331"/>
      <w:bookmarkStart w:id="248" w:name="_Toc17815587"/>
      <w:bookmarkStart w:id="249" w:name="_Toc14098"/>
      <w:bookmarkStart w:id="250" w:name="_Toc6350"/>
      <w:r>
        <w:rPr>
          <w:rFonts w:hint="eastAsia"/>
          <w:sz w:val="28"/>
        </w:rPr>
        <w:t>8 价款与支付</w:t>
      </w:r>
      <w:bookmarkEnd w:id="240"/>
      <w:bookmarkEnd w:id="241"/>
      <w:bookmarkEnd w:id="242"/>
      <w:bookmarkEnd w:id="243"/>
      <w:bookmarkEnd w:id="244"/>
      <w:bookmarkEnd w:id="245"/>
      <w:bookmarkEnd w:id="246"/>
      <w:bookmarkEnd w:id="247"/>
      <w:bookmarkEnd w:id="248"/>
      <w:bookmarkEnd w:id="249"/>
      <w:bookmarkEnd w:id="250"/>
    </w:p>
    <w:p>
      <w:pPr>
        <w:spacing w:line="360" w:lineRule="auto"/>
        <w:rPr>
          <w:sz w:val="24"/>
        </w:rPr>
      </w:pPr>
      <w:r>
        <w:rPr>
          <w:rFonts w:hint="eastAsia"/>
          <w:sz w:val="24"/>
        </w:rPr>
        <w:t>8.1合同总价款为元人民币（大写：</w:t>
      </w:r>
      <w:r>
        <w:rPr>
          <w:rFonts w:hint="eastAsia" w:cs="宋体"/>
          <w:bCs/>
          <w:sz w:val="24"/>
          <w:u w:val="single"/>
        </w:rPr>
        <w:t xml:space="preserve">      元整</w:t>
      </w:r>
      <w:r>
        <w:rPr>
          <w:rFonts w:hint="eastAsia"/>
          <w:sz w:val="24"/>
        </w:rPr>
        <w:t>），该价款为包含增值税的总价款，其中不含税价款为 元人民币（大写：</w:t>
      </w:r>
      <w:r>
        <w:rPr>
          <w:rFonts w:hint="eastAsia" w:cs="宋体"/>
          <w:bCs/>
          <w:sz w:val="24"/>
          <w:u w:val="single"/>
        </w:rPr>
        <w:t xml:space="preserve">      元整</w:t>
      </w:r>
      <w:r>
        <w:rPr>
          <w:rFonts w:hint="eastAsia"/>
          <w:sz w:val="24"/>
        </w:rPr>
        <w:t>），如国家出台新政策对增值税率进行了调整，则本合同含税总价在不含税价基础上根据国家最新税法进行相应的调整。该价格包括但不限于合同设备、外购、外协、配套件、原材料及设计、生产制造、检验、油漆、包装、随机备品备件、易损件、保险、利税、管理、运杂、安装、调试、培训、配合、图纸资料及双方约定的交货方式相关费用等全部费用。</w:t>
      </w:r>
    </w:p>
    <w:p>
      <w:pPr>
        <w:spacing w:line="360" w:lineRule="auto"/>
        <w:rPr>
          <w:sz w:val="24"/>
        </w:rPr>
      </w:pPr>
      <w:r>
        <w:rPr>
          <w:rFonts w:hint="eastAsia"/>
          <w:sz w:val="24"/>
        </w:rPr>
        <w:t>8.2合同价款的结算方式：</w:t>
      </w:r>
      <w:r>
        <w:rPr>
          <w:rFonts w:hint="eastAsia"/>
          <w:sz w:val="24"/>
          <w:u w:val="single"/>
        </w:rPr>
        <w:t>半年期商业汇票（银行承兑汇票或商业承兑汇票）</w:t>
      </w:r>
    </w:p>
    <w:p>
      <w:pPr>
        <w:spacing w:line="360" w:lineRule="auto"/>
        <w:rPr>
          <w:color w:val="auto"/>
          <w:sz w:val="24"/>
        </w:rPr>
      </w:pPr>
      <w:r>
        <w:rPr>
          <w:rFonts w:hint="eastAsia"/>
          <w:color w:val="auto"/>
          <w:sz w:val="24"/>
        </w:rPr>
        <w:t>8.3合同价款的支付：</w:t>
      </w:r>
    </w:p>
    <w:p>
      <w:pPr>
        <w:spacing w:line="360" w:lineRule="auto"/>
        <w:rPr>
          <w:rFonts w:hint="eastAsia"/>
          <w:sz w:val="24"/>
        </w:rPr>
      </w:pPr>
      <w:bookmarkStart w:id="251" w:name="_Toc7645"/>
      <w:bookmarkStart w:id="252" w:name="_Toc24713"/>
      <w:bookmarkStart w:id="253" w:name="_Toc15457"/>
      <w:bookmarkStart w:id="254" w:name="_Toc24085"/>
      <w:bookmarkStart w:id="255" w:name="_Toc49506129"/>
      <w:bookmarkStart w:id="256" w:name="_Toc17815588"/>
      <w:bookmarkStart w:id="257" w:name="_Toc6726"/>
      <w:bookmarkStart w:id="258" w:name="_Toc32707"/>
      <w:bookmarkStart w:id="259" w:name="_Toc25708"/>
      <w:bookmarkStart w:id="260" w:name="_Toc10019"/>
      <w:bookmarkStart w:id="261" w:name="_Toc6957"/>
      <w:r>
        <w:rPr>
          <w:rFonts w:hint="eastAsia"/>
          <w:sz w:val="24"/>
          <w:lang w:val="en-US" w:eastAsia="zh-CN"/>
        </w:rPr>
        <w:t>8.3.1</w:t>
      </w:r>
      <w:r>
        <w:rPr>
          <w:rFonts w:hint="eastAsia"/>
          <w:sz w:val="24"/>
        </w:rPr>
        <w:t xml:space="preserve">合同生效后, </w:t>
      </w:r>
      <w:r>
        <w:rPr>
          <w:rFonts w:hint="eastAsia"/>
          <w:sz w:val="24"/>
          <w:lang w:val="en-US" w:eastAsia="zh-CN"/>
        </w:rPr>
        <w:t>卖</w:t>
      </w:r>
      <w:r>
        <w:rPr>
          <w:rFonts w:hint="eastAsia"/>
          <w:sz w:val="24"/>
        </w:rPr>
        <w:t>方提交金额为合同价款30 %的收据及相应金额的增值税专用发票（税率6%,正本一份，复印件二份），经</w:t>
      </w:r>
      <w:r>
        <w:rPr>
          <w:rFonts w:hint="eastAsia"/>
          <w:sz w:val="24"/>
          <w:lang w:val="en-US" w:eastAsia="zh-CN"/>
        </w:rPr>
        <w:t>买</w:t>
      </w:r>
      <w:r>
        <w:rPr>
          <w:rFonts w:hint="eastAsia"/>
          <w:sz w:val="24"/>
        </w:rPr>
        <w:t>方依照财务制度审核无误后月底支付。</w:t>
      </w:r>
    </w:p>
    <w:p>
      <w:pPr>
        <w:spacing w:line="360" w:lineRule="auto"/>
        <w:rPr>
          <w:rFonts w:hint="eastAsia"/>
          <w:sz w:val="24"/>
        </w:rPr>
      </w:pPr>
      <w:r>
        <w:rPr>
          <w:rFonts w:hint="eastAsia"/>
          <w:sz w:val="24"/>
          <w:lang w:val="en-US" w:eastAsia="zh-CN"/>
        </w:rPr>
        <w:t>8.3.2</w:t>
      </w:r>
      <w:r>
        <w:rPr>
          <w:rFonts w:hint="eastAsia"/>
          <w:sz w:val="24"/>
        </w:rPr>
        <w:t>设备全部到齐，经安装、调试最终验收合格后，</w:t>
      </w:r>
      <w:r>
        <w:rPr>
          <w:rFonts w:hint="eastAsia"/>
          <w:sz w:val="24"/>
          <w:lang w:val="en-US" w:eastAsia="zh-CN"/>
        </w:rPr>
        <w:t>卖方</w:t>
      </w:r>
      <w:r>
        <w:rPr>
          <w:rFonts w:hint="eastAsia"/>
          <w:sz w:val="24"/>
        </w:rPr>
        <w:t>提交金额为合同价款70%的收据及合同总额剩余未开部分的增值税专用发票（税率6%,正本一份，复印件二份）并附带该套合同设备最终验收报告的原件及其复印件两份，经</w:t>
      </w:r>
      <w:r>
        <w:rPr>
          <w:rFonts w:hint="eastAsia"/>
          <w:sz w:val="24"/>
          <w:lang w:val="en-US" w:eastAsia="zh-CN"/>
        </w:rPr>
        <w:t>买方</w:t>
      </w:r>
      <w:r>
        <w:rPr>
          <w:rFonts w:hint="eastAsia"/>
          <w:sz w:val="24"/>
        </w:rPr>
        <w:t>依照财务制度审核无误后，月底支付合同总价款60%的验收款。</w:t>
      </w:r>
    </w:p>
    <w:p>
      <w:pPr>
        <w:spacing w:line="360" w:lineRule="auto"/>
        <w:rPr>
          <w:rFonts w:hint="eastAsia"/>
          <w:sz w:val="24"/>
        </w:rPr>
      </w:pPr>
      <w:r>
        <w:rPr>
          <w:rFonts w:hint="eastAsia"/>
          <w:sz w:val="24"/>
          <w:lang w:val="en-US" w:eastAsia="zh-CN"/>
        </w:rPr>
        <w:t>8.3.3</w:t>
      </w:r>
      <w:r>
        <w:rPr>
          <w:rFonts w:hint="eastAsia"/>
          <w:sz w:val="24"/>
        </w:rPr>
        <w:t>合同总价款的 10 %作为本合同约定设备的质量保证金，质量保证金在质量保证期内不计利息。待每套合同设备质量保证期满后，卖方向买方提交金额为合同总价款10%的收据（正本一份，复印件二份）及设备使用单位或设备管理单位的使用情况说明，经买方依照财务制度审核无误后，甲方当月履行财务流程。如有质量问题，质量保证金予以相应扣除。</w:t>
      </w:r>
    </w:p>
    <w:bookmarkEnd w:id="251"/>
    <w:p>
      <w:pPr>
        <w:pStyle w:val="3"/>
        <w:numPr>
          <w:ilvl w:val="0"/>
          <w:numId w:val="0"/>
        </w:numPr>
        <w:jc w:val="both"/>
        <w:rPr>
          <w:sz w:val="28"/>
        </w:rPr>
      </w:pPr>
      <w:bookmarkStart w:id="262" w:name="_Toc17984"/>
      <w:r>
        <w:rPr>
          <w:rFonts w:hint="eastAsia"/>
          <w:sz w:val="28"/>
        </w:rPr>
        <w:t>9 质量保证及售后服务</w:t>
      </w:r>
      <w:bookmarkEnd w:id="252"/>
      <w:bookmarkEnd w:id="253"/>
      <w:bookmarkEnd w:id="254"/>
      <w:bookmarkEnd w:id="255"/>
      <w:bookmarkEnd w:id="256"/>
      <w:bookmarkEnd w:id="257"/>
      <w:bookmarkEnd w:id="258"/>
      <w:bookmarkEnd w:id="259"/>
      <w:bookmarkEnd w:id="260"/>
      <w:bookmarkEnd w:id="261"/>
      <w:bookmarkEnd w:id="262"/>
    </w:p>
    <w:p>
      <w:pPr>
        <w:spacing w:line="360" w:lineRule="auto"/>
        <w:rPr>
          <w:sz w:val="24"/>
        </w:rPr>
      </w:pPr>
      <w:r>
        <w:rPr>
          <w:rFonts w:hint="eastAsia"/>
          <w:sz w:val="24"/>
        </w:rPr>
        <w:t>9.1中标人保证其提供的新购买设备是全新的、未使用的、未经改装的、包装完好的、原厂正品，采用最佳材料和一流工艺的，并在各个方面符合本合同规定的质量、规格和性能要求。中标人保证其合同设备经过正确安装、合理操作和维护保养，在合同设备寿命期内运转良好。</w:t>
      </w:r>
    </w:p>
    <w:p>
      <w:pPr>
        <w:spacing w:line="360" w:lineRule="auto"/>
        <w:rPr>
          <w:sz w:val="24"/>
        </w:rPr>
      </w:pPr>
      <w:r>
        <w:rPr>
          <w:rFonts w:hint="eastAsia"/>
          <w:sz w:val="24"/>
        </w:rPr>
        <w:t>9.2中标人承诺其提供的设备不存在任何产品缺陷，否则因中标人提供的设备存在产品缺陷而给招标人造成的一切后果和损失由中标人承担。</w:t>
      </w:r>
    </w:p>
    <w:p>
      <w:pPr>
        <w:spacing w:line="360" w:lineRule="auto"/>
        <w:rPr>
          <w:sz w:val="24"/>
        </w:rPr>
      </w:pPr>
      <w:r>
        <w:rPr>
          <w:rFonts w:hint="eastAsia"/>
          <w:sz w:val="24"/>
        </w:rPr>
        <w:t>9.3中标人承诺因其提供的设备存在瑕疵或产品缺陷而导致第三方向招标人主张权利或提起诉讼的，中标人应积极配合招标人进行解决或应诉，因此而发生的一切费用（包括但不限于诉讼费、仲裁费、律师费、交通费、通讯费、住宿费、餐饮费、调查取证费等）由中标人承担。</w:t>
      </w:r>
    </w:p>
    <w:p>
      <w:pPr>
        <w:spacing w:line="360" w:lineRule="auto"/>
        <w:rPr>
          <w:b/>
          <w:bCs/>
          <w:sz w:val="24"/>
        </w:rPr>
      </w:pPr>
      <w:r>
        <w:rPr>
          <w:rFonts w:hint="eastAsia"/>
          <w:b/>
          <w:bCs/>
          <w:sz w:val="24"/>
        </w:rPr>
        <w:t xml:space="preserve">9.4本合同约定设备的质量保证期：自最终验收报告签署之日（以签署日期最晚者为准）起 </w:t>
      </w:r>
      <w:r>
        <w:rPr>
          <w:b/>
          <w:bCs/>
          <w:sz w:val="24"/>
          <w:u w:val="single"/>
        </w:rPr>
        <w:t>24</w:t>
      </w:r>
      <w:r>
        <w:rPr>
          <w:rFonts w:hint="eastAsia"/>
          <w:b/>
          <w:bCs/>
          <w:sz w:val="24"/>
          <w:u w:val="single"/>
        </w:rPr>
        <w:t>个月</w:t>
      </w:r>
      <w:r>
        <w:rPr>
          <w:rFonts w:hint="eastAsia"/>
          <w:b/>
          <w:bCs/>
          <w:sz w:val="24"/>
        </w:rPr>
        <w:t>。</w:t>
      </w:r>
    </w:p>
    <w:p>
      <w:pPr>
        <w:spacing w:line="360" w:lineRule="auto"/>
        <w:rPr>
          <w:sz w:val="24"/>
        </w:rPr>
      </w:pPr>
      <w:r>
        <w:rPr>
          <w:rFonts w:hint="eastAsia"/>
          <w:sz w:val="24"/>
        </w:rPr>
        <w:t>9.5合同约定的设备在质量保证期届满前，如有质量问题，中标人应在收到招标人或设备使用单位通知后2小时内做出回复，如需到现场解决问题，中标人应派工作人员在24小时内到达设备使用现场，并按招标人要求的时间免费修复、更换相关部件，将设备修复完成。</w:t>
      </w:r>
    </w:p>
    <w:p>
      <w:pPr>
        <w:spacing w:line="360" w:lineRule="auto"/>
        <w:rPr>
          <w:sz w:val="24"/>
        </w:rPr>
      </w:pPr>
      <w:r>
        <w:rPr>
          <w:rFonts w:hint="eastAsia"/>
          <w:sz w:val="24"/>
        </w:rPr>
        <w:t>9.6中标人负责在招标人指定的地点免费为招标人培训操作及维修人员，培训内容包括：基本原理、操作使用和维修保养等。</w:t>
      </w:r>
    </w:p>
    <w:p>
      <w:pPr>
        <w:spacing w:line="360" w:lineRule="auto"/>
        <w:rPr>
          <w:sz w:val="24"/>
        </w:rPr>
      </w:pPr>
      <w:r>
        <w:rPr>
          <w:rFonts w:hint="eastAsia"/>
          <w:sz w:val="24"/>
        </w:rPr>
        <w:t>9.7 质量保证期满后，中标人保证向招标人提供及时的、质优的、价格优惠的技术服务和备品备件供应。</w:t>
      </w:r>
    </w:p>
    <w:p>
      <w:pPr>
        <w:spacing w:line="360" w:lineRule="auto"/>
        <w:rPr>
          <w:sz w:val="24"/>
        </w:rPr>
      </w:pPr>
      <w:r>
        <w:rPr>
          <w:rFonts w:hint="eastAsia"/>
          <w:sz w:val="24"/>
        </w:rPr>
        <w:t>9.8质量保证期满后，如出现质量问题，中标人也应及时修复和更换，且只收取成本费，费用由招标人承担，中标人对设备质量问题所负的责任直到设备使用寿命周期结束。</w:t>
      </w:r>
    </w:p>
    <w:p>
      <w:pPr>
        <w:pStyle w:val="3"/>
        <w:numPr>
          <w:ilvl w:val="0"/>
          <w:numId w:val="0"/>
        </w:numPr>
        <w:jc w:val="both"/>
        <w:rPr>
          <w:sz w:val="28"/>
        </w:rPr>
      </w:pPr>
      <w:bookmarkStart w:id="263" w:name="_Toc17626"/>
      <w:bookmarkStart w:id="264" w:name="_Toc10359"/>
      <w:bookmarkStart w:id="265" w:name="_Toc17574"/>
      <w:bookmarkStart w:id="266" w:name="_Toc21692"/>
      <w:bookmarkStart w:id="267" w:name="_Toc17815589"/>
      <w:bookmarkStart w:id="268" w:name="_Toc49506130"/>
      <w:bookmarkStart w:id="269" w:name="_Toc6176"/>
      <w:bookmarkStart w:id="270" w:name="_Toc2659"/>
      <w:bookmarkStart w:id="271" w:name="_Toc18463"/>
      <w:bookmarkStart w:id="272" w:name="_Toc12927"/>
      <w:bookmarkStart w:id="273" w:name="_Toc15570"/>
      <w:r>
        <w:rPr>
          <w:rFonts w:hint="eastAsia"/>
          <w:sz w:val="28"/>
        </w:rPr>
        <w:t>10法定责任</w:t>
      </w:r>
      <w:bookmarkEnd w:id="263"/>
      <w:bookmarkEnd w:id="264"/>
      <w:bookmarkEnd w:id="265"/>
      <w:bookmarkEnd w:id="266"/>
      <w:bookmarkEnd w:id="267"/>
      <w:bookmarkEnd w:id="268"/>
      <w:bookmarkEnd w:id="269"/>
      <w:bookmarkEnd w:id="270"/>
      <w:bookmarkEnd w:id="271"/>
      <w:bookmarkEnd w:id="272"/>
      <w:bookmarkEnd w:id="273"/>
    </w:p>
    <w:p>
      <w:pPr>
        <w:spacing w:line="360" w:lineRule="auto"/>
        <w:rPr>
          <w:sz w:val="24"/>
        </w:rPr>
      </w:pPr>
      <w:r>
        <w:rPr>
          <w:rFonts w:hint="eastAsia"/>
          <w:sz w:val="24"/>
        </w:rPr>
        <w:t>10.1中标人需遵从国家有关的法律、法规，缴纳有关的法定费用和税项。若中标人未按期交纳法定费用、税项，则中标人须补偿招标人由此造成的所有费用及损失。</w:t>
      </w:r>
    </w:p>
    <w:p>
      <w:pPr>
        <w:spacing w:line="360" w:lineRule="auto"/>
        <w:rPr>
          <w:sz w:val="24"/>
        </w:rPr>
      </w:pPr>
      <w:r>
        <w:rPr>
          <w:rFonts w:hint="eastAsia"/>
          <w:sz w:val="24"/>
        </w:rPr>
        <w:t>10.2除非本合同中另有规定或招标人同意，中标人不得全部或部分转让本合同项下的权利义务。</w:t>
      </w:r>
    </w:p>
    <w:p>
      <w:pPr>
        <w:spacing w:line="360" w:lineRule="auto"/>
        <w:rPr>
          <w:sz w:val="24"/>
        </w:rPr>
      </w:pPr>
      <w:r>
        <w:rPr>
          <w:rFonts w:hint="eastAsia"/>
          <w:sz w:val="24"/>
        </w:rPr>
        <w:t>10.3买卖双方同意在履行本合同期间双方之间交换、披露、传递或通信的所有工业和商业信息，任何附加文件或相关文件，应该被视为高度机密，双方应该按照此处规定仅用于本合同的签订和履行。</w:t>
      </w:r>
    </w:p>
    <w:p>
      <w:pPr>
        <w:spacing w:line="360" w:lineRule="auto"/>
        <w:rPr>
          <w:sz w:val="24"/>
        </w:rPr>
      </w:pPr>
      <w:r>
        <w:rPr>
          <w:rFonts w:hint="eastAsia"/>
          <w:sz w:val="24"/>
        </w:rPr>
        <w:t>10.4除对方预先书面同意外，任何一方在本合同签订和履行期间或本合同终止后不得向第三方披露在本合同履行过程中知悉的与对方有关的任何贸易、商业或工业秘密。</w:t>
      </w:r>
    </w:p>
    <w:p>
      <w:pPr>
        <w:pStyle w:val="3"/>
        <w:numPr>
          <w:ilvl w:val="0"/>
          <w:numId w:val="0"/>
        </w:numPr>
        <w:jc w:val="both"/>
        <w:rPr>
          <w:sz w:val="28"/>
        </w:rPr>
      </w:pPr>
      <w:bookmarkStart w:id="274" w:name="_Toc27314"/>
      <w:bookmarkStart w:id="275" w:name="_Toc5038"/>
      <w:bookmarkStart w:id="276" w:name="_Toc10130"/>
      <w:bookmarkStart w:id="277" w:name="_Toc9708"/>
      <w:bookmarkStart w:id="278" w:name="_Toc23529"/>
      <w:bookmarkStart w:id="279" w:name="_Toc17815590"/>
      <w:bookmarkStart w:id="280" w:name="_Toc32281"/>
      <w:bookmarkStart w:id="281" w:name="_Toc17847"/>
      <w:bookmarkStart w:id="282" w:name="_Toc49506131"/>
      <w:bookmarkStart w:id="283" w:name="_Toc30381"/>
      <w:bookmarkStart w:id="284" w:name="_Toc25786"/>
      <w:r>
        <w:rPr>
          <w:rFonts w:hint="eastAsia"/>
          <w:sz w:val="28"/>
        </w:rPr>
        <w:t>11 违约责任</w:t>
      </w:r>
      <w:bookmarkEnd w:id="274"/>
      <w:bookmarkEnd w:id="275"/>
      <w:bookmarkEnd w:id="276"/>
      <w:bookmarkEnd w:id="277"/>
      <w:bookmarkEnd w:id="278"/>
      <w:bookmarkEnd w:id="279"/>
      <w:bookmarkEnd w:id="280"/>
      <w:bookmarkEnd w:id="281"/>
      <w:bookmarkEnd w:id="282"/>
      <w:bookmarkEnd w:id="283"/>
      <w:bookmarkEnd w:id="284"/>
    </w:p>
    <w:p>
      <w:pPr>
        <w:spacing w:line="360" w:lineRule="auto"/>
        <w:rPr>
          <w:sz w:val="24"/>
        </w:rPr>
      </w:pPr>
      <w:r>
        <w:rPr>
          <w:rFonts w:hint="eastAsia"/>
          <w:sz w:val="24"/>
        </w:rPr>
        <w:t>11.1中标人应承担提供的设备与本合同约定不符的一切责任，招标人有权在检验、安装、调试、验收测试期限内、质量保证期内等任何时间提出索赔，招标人有权按下述一种或多种方法要求中标人赔偿：</w:t>
      </w:r>
    </w:p>
    <w:p>
      <w:pPr>
        <w:spacing w:line="360" w:lineRule="auto"/>
        <w:rPr>
          <w:sz w:val="24"/>
        </w:rPr>
      </w:pPr>
      <w:r>
        <w:rPr>
          <w:rFonts w:hint="eastAsia"/>
          <w:sz w:val="24"/>
        </w:rPr>
        <w:t>11.1.1中标人同意招标人拒收设备并把被与拒收设备等值的价款在招标人要求的时间内以本合同规定的货币付给招标人，中标人承担因此而发生的一切损失和费用，包括但不限于同期银行贷款利息、银行费用、运输和保险费、检验费、仓储和装卸费以及为保管和保护被拒绝设备所需要的其他必需的费用，并赔偿因此给招标人造成的损失。</w:t>
      </w:r>
    </w:p>
    <w:p>
      <w:pPr>
        <w:spacing w:line="360" w:lineRule="auto"/>
        <w:rPr>
          <w:sz w:val="24"/>
        </w:rPr>
      </w:pPr>
      <w:r>
        <w:rPr>
          <w:rFonts w:hint="eastAsia"/>
          <w:sz w:val="24"/>
        </w:rPr>
        <w:t>11.1.2根据设备的瑕疵和受损程度以及招标人遭受损失的金额，经招标人同意降低设备价格。</w:t>
      </w:r>
    </w:p>
    <w:p>
      <w:pPr>
        <w:spacing w:line="360" w:lineRule="auto"/>
        <w:rPr>
          <w:sz w:val="24"/>
        </w:rPr>
      </w:pPr>
      <w:r>
        <w:rPr>
          <w:rFonts w:hint="eastAsia"/>
          <w:sz w:val="24"/>
        </w:rPr>
        <w:t>11.1.3更换有缺陷的零件、部件、设备或修理缺陷部分，以达到本合同规定的规格、质量和性能，中标人承担一切费用和风险并负担招标人遭受的一切损失，同时中标人应相应延长被修理或更换设备的质量保证期。</w:t>
      </w:r>
    </w:p>
    <w:p>
      <w:pPr>
        <w:spacing w:line="360" w:lineRule="auto"/>
        <w:rPr>
          <w:sz w:val="24"/>
        </w:rPr>
      </w:pPr>
      <w:r>
        <w:rPr>
          <w:rFonts w:hint="eastAsia"/>
          <w:sz w:val="24"/>
        </w:rPr>
        <w:t>11.2如果招标人就中标人的设备质量问题提出索赔通知后</w:t>
      </w:r>
      <w:r>
        <w:rPr>
          <w:rFonts w:hint="eastAsia"/>
          <w:sz w:val="24"/>
          <w:u w:val="single"/>
        </w:rPr>
        <w:t xml:space="preserve"> 10 </w:t>
      </w:r>
      <w:r>
        <w:rPr>
          <w:rFonts w:hint="eastAsia"/>
          <w:sz w:val="24"/>
        </w:rPr>
        <w:t>日内中标人未能予以答复，该索赔视为已被中标人接受。若中标人未能在招标人提出索赔通知后</w:t>
      </w:r>
      <w:r>
        <w:rPr>
          <w:rFonts w:hint="eastAsia"/>
          <w:sz w:val="24"/>
          <w:u w:val="single"/>
        </w:rPr>
        <w:t xml:space="preserve"> 10 </w:t>
      </w:r>
      <w:r>
        <w:rPr>
          <w:rFonts w:hint="eastAsia"/>
          <w:sz w:val="24"/>
        </w:rPr>
        <w:t>日内或招标人同意的更长一些的时间内，按招标人同意的上述任何一种方式处理索赔事宜，招标人将从货款中扣回索赔金额，同时保留进一步要求赔偿的权利。</w:t>
      </w:r>
    </w:p>
    <w:p>
      <w:pPr>
        <w:spacing w:line="360" w:lineRule="auto"/>
        <w:rPr>
          <w:sz w:val="24"/>
        </w:rPr>
      </w:pPr>
      <w:r>
        <w:rPr>
          <w:rFonts w:hint="eastAsia"/>
          <w:sz w:val="24"/>
        </w:rPr>
        <w:t>11.3如果中标人未能按期到货，中标人应向招标人支付违约金，违约金比率为每迟交壹日，按合同总价的10‰计算，但是违约金的金额不得超过合同总价款的 20 %，如果中标人在达到违约金的最高限额后仍不能交货，招标人有权就中标人违约而解除本合同，且中标人仍须支付上述违约金，并赔偿由此给招标人造成的一切损失。</w:t>
      </w:r>
    </w:p>
    <w:p>
      <w:pPr>
        <w:spacing w:line="360" w:lineRule="auto"/>
        <w:rPr>
          <w:sz w:val="24"/>
        </w:rPr>
      </w:pPr>
      <w:r>
        <w:rPr>
          <w:rFonts w:hint="eastAsia"/>
          <w:sz w:val="24"/>
        </w:rPr>
        <w:t>11.4如中标人未按7.1条履行义务，从逾期之日起中标人每天按合同总价款的</w:t>
      </w:r>
      <w:r>
        <w:rPr>
          <w:rFonts w:hint="eastAsia"/>
          <w:sz w:val="24"/>
          <w:u w:val="single"/>
        </w:rPr>
        <w:t xml:space="preserve"> 10 </w:t>
      </w:r>
      <w:r>
        <w:rPr>
          <w:rFonts w:hint="eastAsia"/>
          <w:sz w:val="24"/>
        </w:rPr>
        <w:t>‰支付给招标人作违约金，但是违约金的金额不得超过合同总价的</w:t>
      </w:r>
      <w:r>
        <w:rPr>
          <w:rFonts w:hint="eastAsia"/>
          <w:sz w:val="24"/>
          <w:u w:val="single"/>
        </w:rPr>
        <w:t xml:space="preserve"> 20 </w:t>
      </w:r>
      <w:r>
        <w:rPr>
          <w:rFonts w:hint="eastAsia"/>
          <w:sz w:val="24"/>
        </w:rPr>
        <w:t>%。如果中标人在达到违约金的最高限额或者不能使设备通过最终验收，招标人有权就中标人违约而解除本合同，且中标人仍须支付上述违约金，并返还招标人支付的设备款，并赔偿由此给招标人造成的一切损失。</w:t>
      </w:r>
    </w:p>
    <w:p>
      <w:pPr>
        <w:spacing w:line="360" w:lineRule="auto"/>
        <w:rPr>
          <w:sz w:val="24"/>
        </w:rPr>
      </w:pPr>
      <w:r>
        <w:rPr>
          <w:rFonts w:hint="eastAsia"/>
          <w:sz w:val="24"/>
        </w:rPr>
        <w:t>11.5招标人延期付款时（有正当拒付理由者除外），每日按延付金额的</w:t>
      </w:r>
      <w:r>
        <w:rPr>
          <w:rFonts w:hint="eastAsia"/>
          <w:sz w:val="24"/>
          <w:u w:val="single"/>
        </w:rPr>
        <w:t xml:space="preserve"> 3 </w:t>
      </w:r>
      <w:r>
        <w:rPr>
          <w:rFonts w:hint="eastAsia"/>
          <w:sz w:val="24"/>
        </w:rPr>
        <w:t>‰向中标人偿付延期付款违约金，但违约金总额不超过延付金额的</w:t>
      </w:r>
      <w:r>
        <w:rPr>
          <w:rFonts w:hint="eastAsia"/>
          <w:sz w:val="24"/>
          <w:u w:val="single"/>
        </w:rPr>
        <w:t xml:space="preserve"> 5 </w:t>
      </w:r>
      <w:r>
        <w:rPr>
          <w:rFonts w:hint="eastAsia"/>
          <w:sz w:val="24"/>
        </w:rPr>
        <w:t>‰。</w:t>
      </w:r>
    </w:p>
    <w:p>
      <w:pPr>
        <w:spacing w:line="360" w:lineRule="auto"/>
        <w:rPr>
          <w:sz w:val="24"/>
        </w:rPr>
      </w:pPr>
      <w:r>
        <w:rPr>
          <w:rFonts w:hint="eastAsia"/>
          <w:sz w:val="24"/>
        </w:rPr>
        <w:t>11.6如中标人违反9.5条，则招标人有权视情况扣除部分或全部质量保证金作为中标人的违约金，并且中标人应赔偿因此给招标人造成的一切损失。中标人不能及时到现场履行质量维修义务，每延迟一天应承担合同价款的1‰的违约金或者1000元/天，且不免除维修的责任。违约金在质保金中扣除。11.7如果中标人违反本合同其他约定（包括本合同及所有附件）应赔偿因此给招标人造成的一切损失。</w:t>
      </w:r>
    </w:p>
    <w:p>
      <w:pPr>
        <w:pStyle w:val="3"/>
        <w:numPr>
          <w:ilvl w:val="0"/>
          <w:numId w:val="0"/>
        </w:numPr>
        <w:jc w:val="both"/>
        <w:rPr>
          <w:sz w:val="28"/>
        </w:rPr>
      </w:pPr>
      <w:bookmarkStart w:id="285" w:name="_Toc49506132"/>
      <w:bookmarkStart w:id="286" w:name="_Toc31554"/>
      <w:bookmarkStart w:id="287" w:name="_Toc17233"/>
      <w:bookmarkStart w:id="288" w:name="_Toc17815591"/>
      <w:bookmarkStart w:id="289" w:name="_Toc1827"/>
      <w:bookmarkStart w:id="290" w:name="_Toc30876"/>
      <w:bookmarkStart w:id="291" w:name="_Toc20009"/>
      <w:bookmarkStart w:id="292" w:name="_Toc25673"/>
      <w:bookmarkStart w:id="293" w:name="_Toc18598"/>
      <w:bookmarkStart w:id="294" w:name="_Toc21667"/>
      <w:bookmarkStart w:id="295" w:name="_Toc9172"/>
      <w:r>
        <w:rPr>
          <w:rFonts w:hint="eastAsia"/>
          <w:sz w:val="28"/>
        </w:rPr>
        <w:t>12 合同的终止与解除</w:t>
      </w:r>
      <w:bookmarkEnd w:id="285"/>
      <w:bookmarkEnd w:id="286"/>
      <w:bookmarkEnd w:id="287"/>
      <w:bookmarkEnd w:id="288"/>
      <w:bookmarkEnd w:id="289"/>
      <w:bookmarkEnd w:id="290"/>
      <w:bookmarkEnd w:id="291"/>
      <w:bookmarkEnd w:id="292"/>
      <w:bookmarkEnd w:id="293"/>
      <w:bookmarkEnd w:id="294"/>
      <w:bookmarkEnd w:id="295"/>
    </w:p>
    <w:p>
      <w:pPr>
        <w:spacing w:line="360" w:lineRule="auto"/>
        <w:rPr>
          <w:sz w:val="24"/>
        </w:rPr>
      </w:pPr>
      <w:r>
        <w:rPr>
          <w:rFonts w:hint="eastAsia"/>
          <w:sz w:val="24"/>
        </w:rPr>
        <w:t>12.1本合同订立后，中标人由于履行义务的能力或信用有严重缺陷，招标人可以终止履行本合同，要求中标人返还已支付的款项并不承担违约责任。</w:t>
      </w:r>
    </w:p>
    <w:p>
      <w:pPr>
        <w:spacing w:line="360" w:lineRule="auto"/>
        <w:rPr>
          <w:sz w:val="24"/>
        </w:rPr>
      </w:pPr>
      <w:r>
        <w:rPr>
          <w:rFonts w:hint="eastAsia"/>
          <w:sz w:val="24"/>
        </w:rPr>
        <w:t>12.2经双方协商一致，可以解除本合同。</w:t>
      </w:r>
    </w:p>
    <w:p>
      <w:pPr>
        <w:spacing w:line="360" w:lineRule="auto"/>
        <w:rPr>
          <w:sz w:val="24"/>
        </w:rPr>
      </w:pPr>
      <w:r>
        <w:rPr>
          <w:rFonts w:hint="eastAsia"/>
          <w:sz w:val="24"/>
        </w:rPr>
        <w:t>12.3有下列情形之一的，招标人可以解除本合同：</w:t>
      </w:r>
    </w:p>
    <w:p>
      <w:pPr>
        <w:spacing w:line="360" w:lineRule="auto"/>
        <w:rPr>
          <w:sz w:val="24"/>
        </w:rPr>
      </w:pPr>
      <w:r>
        <w:rPr>
          <w:rFonts w:hint="eastAsia"/>
          <w:sz w:val="24"/>
        </w:rPr>
        <w:t>12.3.1中标人明确表示或者以自己的行为表明不履行主要义务的；</w:t>
      </w:r>
    </w:p>
    <w:p>
      <w:pPr>
        <w:spacing w:line="360" w:lineRule="auto"/>
        <w:rPr>
          <w:sz w:val="24"/>
        </w:rPr>
      </w:pPr>
      <w:r>
        <w:rPr>
          <w:rFonts w:hint="eastAsia"/>
          <w:sz w:val="24"/>
        </w:rPr>
        <w:t>12.3.2按照本合同第11.3条或第11.4条的规定，达到违约金的最高限额；</w:t>
      </w:r>
    </w:p>
    <w:p>
      <w:pPr>
        <w:spacing w:line="360" w:lineRule="auto"/>
        <w:rPr>
          <w:sz w:val="24"/>
        </w:rPr>
      </w:pPr>
      <w:r>
        <w:rPr>
          <w:rFonts w:hint="eastAsia"/>
          <w:sz w:val="24"/>
        </w:rPr>
        <w:t>12.3.3中标人所提交的设备不符合本合同的规定；</w:t>
      </w:r>
    </w:p>
    <w:p>
      <w:pPr>
        <w:spacing w:line="360" w:lineRule="auto"/>
        <w:rPr>
          <w:sz w:val="24"/>
        </w:rPr>
      </w:pPr>
      <w:r>
        <w:rPr>
          <w:rFonts w:hint="eastAsia"/>
          <w:sz w:val="24"/>
        </w:rPr>
        <w:t>12.3.4中标人有其他违约行为。</w:t>
      </w:r>
    </w:p>
    <w:p>
      <w:pPr>
        <w:spacing w:line="360" w:lineRule="auto"/>
        <w:rPr>
          <w:sz w:val="24"/>
        </w:rPr>
      </w:pPr>
      <w:r>
        <w:rPr>
          <w:rFonts w:hint="eastAsia"/>
          <w:sz w:val="24"/>
        </w:rPr>
        <w:t>12.4中标人分批交付设备的，中标人对其中一批设备不交付或者交付不符合约定，致使该批设备不能实现本合同目的的，招标人可以就该批设备解除合同。</w:t>
      </w:r>
    </w:p>
    <w:p>
      <w:pPr>
        <w:spacing w:line="360" w:lineRule="auto"/>
        <w:rPr>
          <w:sz w:val="24"/>
        </w:rPr>
      </w:pPr>
      <w:r>
        <w:rPr>
          <w:rFonts w:hint="eastAsia"/>
          <w:sz w:val="24"/>
        </w:rPr>
        <w:t>12.5中标人不交付其中一批设备或者交付不符合约定，致使今后其他各批设备的交付不能实现本合同目的的，招标人可以就该批以及今后其他各批设备解除合同。</w:t>
      </w:r>
    </w:p>
    <w:p>
      <w:pPr>
        <w:spacing w:line="360" w:lineRule="auto"/>
        <w:rPr>
          <w:sz w:val="24"/>
        </w:rPr>
      </w:pPr>
      <w:r>
        <w:rPr>
          <w:rFonts w:hint="eastAsia"/>
          <w:sz w:val="24"/>
        </w:rPr>
        <w:t>12.6招标人如果就其中一批设备解除合同，该批设备与其他各批设备相互依存的，可以就已经交付和未交付的各批设备解除合同。</w:t>
      </w:r>
    </w:p>
    <w:p>
      <w:pPr>
        <w:spacing w:line="360" w:lineRule="auto"/>
        <w:rPr>
          <w:sz w:val="24"/>
        </w:rPr>
      </w:pPr>
      <w:r>
        <w:rPr>
          <w:rFonts w:hint="eastAsia"/>
          <w:sz w:val="24"/>
        </w:rPr>
        <w:t>12.7因为中标人违约导致招标人解除合同的，中标人应赔偿招标人因此所遭受的一切损失。</w:t>
      </w:r>
    </w:p>
    <w:p>
      <w:pPr>
        <w:pStyle w:val="3"/>
        <w:numPr>
          <w:ilvl w:val="0"/>
          <w:numId w:val="0"/>
        </w:numPr>
        <w:jc w:val="both"/>
        <w:rPr>
          <w:sz w:val="28"/>
        </w:rPr>
      </w:pPr>
      <w:bookmarkStart w:id="296" w:name="_Toc49506133"/>
      <w:bookmarkStart w:id="297" w:name="_Toc5971"/>
      <w:bookmarkStart w:id="298" w:name="_Toc21957"/>
      <w:bookmarkStart w:id="299" w:name="_Toc4737"/>
      <w:bookmarkStart w:id="300" w:name="_Toc21682"/>
      <w:bookmarkStart w:id="301" w:name="_Toc12401"/>
      <w:bookmarkStart w:id="302" w:name="_Toc13671"/>
      <w:bookmarkStart w:id="303" w:name="_Toc31945"/>
      <w:bookmarkStart w:id="304" w:name="_Toc17815592"/>
      <w:bookmarkStart w:id="305" w:name="_Toc8620"/>
      <w:bookmarkStart w:id="306" w:name="_Toc4304"/>
      <w:r>
        <w:rPr>
          <w:rFonts w:hint="eastAsia"/>
          <w:sz w:val="28"/>
        </w:rPr>
        <w:t>13 不可抗力</w:t>
      </w:r>
      <w:bookmarkEnd w:id="296"/>
      <w:bookmarkEnd w:id="297"/>
      <w:bookmarkEnd w:id="298"/>
      <w:bookmarkEnd w:id="299"/>
      <w:bookmarkEnd w:id="300"/>
      <w:bookmarkEnd w:id="301"/>
      <w:bookmarkEnd w:id="302"/>
      <w:bookmarkEnd w:id="303"/>
      <w:bookmarkEnd w:id="304"/>
      <w:bookmarkEnd w:id="305"/>
      <w:bookmarkEnd w:id="306"/>
    </w:p>
    <w:p>
      <w:pPr>
        <w:spacing w:line="360" w:lineRule="auto"/>
        <w:rPr>
          <w:sz w:val="24"/>
        </w:rPr>
      </w:pPr>
      <w:r>
        <w:rPr>
          <w:rFonts w:hint="eastAsia"/>
          <w:sz w:val="24"/>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spacing w:line="360" w:lineRule="auto"/>
        <w:rPr>
          <w:sz w:val="24"/>
        </w:rPr>
      </w:pPr>
      <w:r>
        <w:rPr>
          <w:rFonts w:hint="eastAsia"/>
          <w:sz w:val="24"/>
        </w:rPr>
        <w:t>13.2各方应该通过协商决定是否终止本合同，或推迟全部或部分本合同的履行或免除对方全部或部分相关履行义务。</w:t>
      </w:r>
    </w:p>
    <w:p>
      <w:pPr>
        <w:pStyle w:val="3"/>
        <w:numPr>
          <w:ilvl w:val="0"/>
          <w:numId w:val="0"/>
        </w:numPr>
        <w:jc w:val="both"/>
        <w:rPr>
          <w:sz w:val="28"/>
        </w:rPr>
      </w:pPr>
      <w:bookmarkStart w:id="307" w:name="_Toc7471"/>
      <w:bookmarkStart w:id="308" w:name="_Toc17815593"/>
      <w:bookmarkStart w:id="309" w:name="_Toc29680"/>
      <w:bookmarkStart w:id="310" w:name="_Toc25725"/>
      <w:bookmarkStart w:id="311" w:name="_Toc49506134"/>
      <w:bookmarkStart w:id="312" w:name="_Toc14613"/>
      <w:bookmarkStart w:id="313" w:name="_Toc31243"/>
      <w:bookmarkStart w:id="314" w:name="_Toc30306"/>
      <w:bookmarkStart w:id="315" w:name="_Toc30389"/>
      <w:bookmarkStart w:id="316" w:name="_Toc3115"/>
      <w:bookmarkStart w:id="317" w:name="_Toc637"/>
      <w:r>
        <w:rPr>
          <w:rFonts w:hint="eastAsia"/>
          <w:sz w:val="28"/>
        </w:rPr>
        <w:t>14 通讯</w:t>
      </w:r>
      <w:bookmarkEnd w:id="307"/>
      <w:bookmarkEnd w:id="308"/>
      <w:bookmarkEnd w:id="309"/>
      <w:bookmarkEnd w:id="310"/>
      <w:bookmarkEnd w:id="311"/>
      <w:bookmarkEnd w:id="312"/>
      <w:bookmarkEnd w:id="313"/>
      <w:bookmarkEnd w:id="314"/>
      <w:bookmarkEnd w:id="315"/>
      <w:bookmarkEnd w:id="316"/>
      <w:bookmarkEnd w:id="317"/>
    </w:p>
    <w:p>
      <w:pPr>
        <w:spacing w:line="360" w:lineRule="auto"/>
        <w:rPr>
          <w:sz w:val="24"/>
        </w:rPr>
      </w:pPr>
      <w:r>
        <w:rPr>
          <w:rFonts w:hint="eastAsia"/>
          <w:sz w:val="24"/>
        </w:rPr>
        <w:t>14.1通讯地址：</w:t>
      </w:r>
    </w:p>
    <w:p>
      <w:pPr>
        <w:spacing w:line="360" w:lineRule="auto"/>
        <w:rPr>
          <w:sz w:val="24"/>
        </w:rPr>
      </w:pPr>
      <w:r>
        <w:rPr>
          <w:rFonts w:hint="eastAsia"/>
          <w:sz w:val="24"/>
        </w:rPr>
        <w:t>本合同下的任何通讯按照本合同双方提供的信息，以书信、传真、电子通讯方式或电话作出。</w:t>
      </w:r>
    </w:p>
    <w:p>
      <w:pPr>
        <w:spacing w:line="360" w:lineRule="auto"/>
        <w:rPr>
          <w:sz w:val="24"/>
        </w:rPr>
      </w:pPr>
      <w:r>
        <w:rPr>
          <w:rFonts w:hint="eastAsia"/>
          <w:sz w:val="24"/>
        </w:rPr>
        <w:t>14.2生效</w:t>
      </w:r>
    </w:p>
    <w:p>
      <w:pPr>
        <w:spacing w:line="360" w:lineRule="auto"/>
        <w:rPr>
          <w:sz w:val="24"/>
        </w:rPr>
      </w:pPr>
      <w:r>
        <w:rPr>
          <w:rFonts w:hint="eastAsia"/>
          <w:sz w:val="24"/>
        </w:rPr>
        <w:t>14.2.1书信。书信为送达时生效；</w:t>
      </w:r>
    </w:p>
    <w:p>
      <w:pPr>
        <w:spacing w:line="360" w:lineRule="auto"/>
        <w:rPr>
          <w:sz w:val="24"/>
        </w:rPr>
      </w:pPr>
      <w:r>
        <w:rPr>
          <w:rFonts w:hint="eastAsia"/>
          <w:sz w:val="24"/>
        </w:rPr>
        <w:t>14.2.2传真。发送人取得成功传输的信息时生效；</w:t>
      </w:r>
    </w:p>
    <w:p>
      <w:pPr>
        <w:spacing w:line="360" w:lineRule="auto"/>
        <w:rPr>
          <w:sz w:val="24"/>
        </w:rPr>
      </w:pPr>
      <w:r>
        <w:rPr>
          <w:rFonts w:hint="eastAsia"/>
          <w:sz w:val="24"/>
        </w:rPr>
        <w:t>14.2.3电子邮件。电子邮件于发送之时生效，前提是寄件者于该邮件发送后24小时内没有收到发送失败通知；</w:t>
      </w:r>
    </w:p>
    <w:p>
      <w:pPr>
        <w:spacing w:line="360" w:lineRule="auto"/>
        <w:rPr>
          <w:sz w:val="24"/>
        </w:rPr>
      </w:pPr>
      <w:r>
        <w:rPr>
          <w:rFonts w:hint="eastAsia"/>
          <w:sz w:val="24"/>
        </w:rPr>
        <w:t>14.2.4电话。电话于打出时生效，以电话作出的任何通讯必须以书信、传真或电子邮件确认，如果没有发送或者接收该确认不会使原有通讯失效。</w:t>
      </w:r>
    </w:p>
    <w:p>
      <w:pPr>
        <w:spacing w:line="360" w:lineRule="auto"/>
        <w:rPr>
          <w:sz w:val="24"/>
        </w:rPr>
      </w:pPr>
      <w:r>
        <w:rPr>
          <w:rFonts w:hint="eastAsia"/>
          <w:sz w:val="24"/>
        </w:rPr>
        <w:t>14.3书面法律证据。根据本合同以书信、传真或电子邮件方式送达任何订约方的任何通讯，将作为书面法律证据。</w:t>
      </w:r>
    </w:p>
    <w:p>
      <w:pPr>
        <w:pStyle w:val="3"/>
        <w:numPr>
          <w:ilvl w:val="0"/>
          <w:numId w:val="0"/>
        </w:numPr>
        <w:jc w:val="both"/>
        <w:rPr>
          <w:sz w:val="28"/>
        </w:rPr>
      </w:pPr>
      <w:bookmarkStart w:id="318" w:name="_Toc17249"/>
      <w:bookmarkStart w:id="319" w:name="_Toc12984"/>
      <w:bookmarkStart w:id="320" w:name="_Toc11290"/>
      <w:bookmarkStart w:id="321" w:name="_Toc17815594"/>
      <w:bookmarkStart w:id="322" w:name="_Toc486"/>
      <w:bookmarkStart w:id="323" w:name="_Toc68"/>
      <w:bookmarkStart w:id="324" w:name="_Toc49506135"/>
      <w:bookmarkStart w:id="325" w:name="_Toc26296"/>
      <w:bookmarkStart w:id="326" w:name="_Toc29994"/>
      <w:bookmarkStart w:id="327" w:name="_Toc2235"/>
      <w:bookmarkStart w:id="328" w:name="_Toc9915"/>
      <w:r>
        <w:rPr>
          <w:rFonts w:hint="eastAsia"/>
          <w:sz w:val="28"/>
        </w:rPr>
        <w:t>15 适用法律及争议解决</w:t>
      </w:r>
      <w:bookmarkEnd w:id="318"/>
      <w:bookmarkEnd w:id="319"/>
      <w:bookmarkEnd w:id="320"/>
      <w:bookmarkEnd w:id="321"/>
      <w:bookmarkEnd w:id="322"/>
      <w:bookmarkEnd w:id="323"/>
      <w:bookmarkEnd w:id="324"/>
      <w:bookmarkEnd w:id="325"/>
      <w:bookmarkEnd w:id="326"/>
      <w:bookmarkEnd w:id="327"/>
      <w:bookmarkEnd w:id="328"/>
    </w:p>
    <w:p>
      <w:pPr>
        <w:spacing w:line="360" w:lineRule="auto"/>
        <w:rPr>
          <w:sz w:val="24"/>
        </w:rPr>
      </w:pPr>
      <w:r>
        <w:rPr>
          <w:rFonts w:hint="eastAsia"/>
          <w:sz w:val="24"/>
        </w:rPr>
        <w:t>15.1本合同条款的效力和解释适用中华人民共和国法律。</w:t>
      </w:r>
    </w:p>
    <w:p>
      <w:pPr>
        <w:spacing w:line="360" w:lineRule="auto"/>
        <w:rPr>
          <w:sz w:val="24"/>
        </w:rPr>
      </w:pPr>
      <w:r>
        <w:rPr>
          <w:rFonts w:hint="eastAsia"/>
          <w:sz w:val="24"/>
        </w:rPr>
        <w:t>15.2双方同意将本着诚信的态度协商解决本合同履行过程中产生的任何争议。如果争议事项不能通过双方协商解决，本合同双方同意采用向招标人所在地人民法院提起诉讼的方式解决。</w:t>
      </w:r>
    </w:p>
    <w:p>
      <w:pPr>
        <w:pStyle w:val="3"/>
        <w:numPr>
          <w:ilvl w:val="0"/>
          <w:numId w:val="0"/>
        </w:numPr>
        <w:jc w:val="both"/>
        <w:rPr>
          <w:sz w:val="28"/>
        </w:rPr>
      </w:pPr>
      <w:bookmarkStart w:id="329" w:name="_Toc23765"/>
      <w:bookmarkStart w:id="330" w:name="_Toc25999"/>
      <w:bookmarkStart w:id="331" w:name="_Toc7122"/>
      <w:bookmarkStart w:id="332" w:name="_Toc49506136"/>
      <w:bookmarkStart w:id="333" w:name="_Toc25472"/>
      <w:bookmarkStart w:id="334" w:name="_Toc18207"/>
      <w:bookmarkStart w:id="335" w:name="_Toc17462"/>
      <w:bookmarkStart w:id="336" w:name="_Toc17815595"/>
      <w:bookmarkStart w:id="337" w:name="_Toc15534"/>
      <w:bookmarkStart w:id="338" w:name="_Toc3389"/>
      <w:bookmarkStart w:id="339" w:name="_Toc23906"/>
      <w:r>
        <w:rPr>
          <w:rFonts w:hint="eastAsia"/>
          <w:sz w:val="28"/>
        </w:rPr>
        <w:t>16 附件</w:t>
      </w:r>
      <w:bookmarkEnd w:id="329"/>
      <w:bookmarkEnd w:id="330"/>
      <w:bookmarkEnd w:id="331"/>
      <w:bookmarkEnd w:id="332"/>
      <w:bookmarkEnd w:id="333"/>
      <w:bookmarkEnd w:id="334"/>
      <w:bookmarkEnd w:id="335"/>
      <w:bookmarkEnd w:id="336"/>
      <w:bookmarkEnd w:id="337"/>
      <w:bookmarkEnd w:id="338"/>
      <w:bookmarkEnd w:id="339"/>
    </w:p>
    <w:p>
      <w:pPr>
        <w:spacing w:line="360" w:lineRule="auto"/>
        <w:rPr>
          <w:sz w:val="24"/>
        </w:rPr>
      </w:pPr>
      <w:r>
        <w:rPr>
          <w:rFonts w:hint="eastAsia"/>
          <w:sz w:val="24"/>
        </w:rPr>
        <w:t>本合同及其附件构成双方关于本合同标的之全部协议，包括但不限于下列文件：</w:t>
      </w:r>
    </w:p>
    <w:p>
      <w:pPr>
        <w:spacing w:line="360" w:lineRule="auto"/>
        <w:rPr>
          <w:sz w:val="24"/>
        </w:rPr>
      </w:pPr>
      <w:r>
        <w:rPr>
          <w:rFonts w:hint="eastAsia"/>
          <w:sz w:val="24"/>
        </w:rPr>
        <w:t>16.1技术要求；</w:t>
      </w:r>
    </w:p>
    <w:p>
      <w:pPr>
        <w:spacing w:line="360" w:lineRule="auto"/>
        <w:rPr>
          <w:sz w:val="24"/>
        </w:rPr>
      </w:pPr>
      <w:r>
        <w:rPr>
          <w:rFonts w:hint="eastAsia"/>
          <w:sz w:val="24"/>
        </w:rPr>
        <w:t>16.2合同设备一览表；</w:t>
      </w:r>
    </w:p>
    <w:p>
      <w:pPr>
        <w:spacing w:line="360" w:lineRule="auto"/>
        <w:rPr>
          <w:sz w:val="24"/>
        </w:rPr>
      </w:pPr>
      <w:r>
        <w:rPr>
          <w:rFonts w:hint="eastAsia"/>
          <w:sz w:val="24"/>
        </w:rPr>
        <w:t>16.3中标人中标的设备投标书以及一切书面承诺；</w:t>
      </w:r>
    </w:p>
    <w:p>
      <w:pPr>
        <w:spacing w:line="360" w:lineRule="auto"/>
        <w:rPr>
          <w:sz w:val="24"/>
        </w:rPr>
      </w:pPr>
      <w:r>
        <w:rPr>
          <w:rFonts w:hint="eastAsia"/>
          <w:sz w:val="24"/>
        </w:rPr>
        <w:t>16.4招标文件。</w:t>
      </w:r>
    </w:p>
    <w:p>
      <w:pPr>
        <w:spacing w:line="360" w:lineRule="auto"/>
        <w:rPr>
          <w:sz w:val="24"/>
        </w:rPr>
      </w:pPr>
      <w:r>
        <w:rPr>
          <w:rFonts w:hint="eastAsia"/>
          <w:sz w:val="24"/>
        </w:rPr>
        <w:t>上述附件内容与本合同约定有冲突的，以本合同约定为准。</w:t>
      </w:r>
    </w:p>
    <w:p>
      <w:pPr>
        <w:pStyle w:val="3"/>
        <w:numPr>
          <w:ilvl w:val="0"/>
          <w:numId w:val="0"/>
        </w:numPr>
        <w:jc w:val="both"/>
        <w:rPr>
          <w:sz w:val="28"/>
        </w:rPr>
      </w:pPr>
      <w:bookmarkStart w:id="340" w:name="_Toc8880"/>
      <w:bookmarkStart w:id="341" w:name="_Toc780"/>
      <w:bookmarkStart w:id="342" w:name="_Toc27202"/>
      <w:bookmarkStart w:id="343" w:name="_Toc27687"/>
      <w:bookmarkStart w:id="344" w:name="_Toc7201"/>
      <w:bookmarkStart w:id="345" w:name="_Toc17656"/>
      <w:bookmarkStart w:id="346" w:name="_Toc9530"/>
      <w:bookmarkStart w:id="347" w:name="_Toc25477"/>
      <w:bookmarkStart w:id="348" w:name="_Toc49506137"/>
      <w:bookmarkStart w:id="349" w:name="_Toc17815596"/>
      <w:bookmarkStart w:id="350" w:name="_Toc31331"/>
      <w:r>
        <w:rPr>
          <w:rFonts w:hint="eastAsia"/>
          <w:sz w:val="28"/>
        </w:rPr>
        <w:t>17 其他规定</w:t>
      </w:r>
      <w:bookmarkEnd w:id="340"/>
      <w:bookmarkEnd w:id="341"/>
      <w:bookmarkEnd w:id="342"/>
      <w:bookmarkEnd w:id="343"/>
      <w:bookmarkEnd w:id="344"/>
      <w:bookmarkEnd w:id="345"/>
      <w:bookmarkEnd w:id="346"/>
      <w:bookmarkEnd w:id="347"/>
      <w:bookmarkEnd w:id="348"/>
      <w:bookmarkEnd w:id="349"/>
      <w:bookmarkEnd w:id="350"/>
    </w:p>
    <w:p>
      <w:pPr>
        <w:spacing w:line="400" w:lineRule="exact"/>
        <w:rPr>
          <w:sz w:val="24"/>
        </w:rPr>
      </w:pPr>
      <w:r>
        <w:rPr>
          <w:rFonts w:hint="eastAsia"/>
          <w:sz w:val="24"/>
        </w:rPr>
        <w:t>17.1本合同及其附件构成了双方就本合同所含交易而达成的全部合同，并取代双方先前与该等交易有关的全部口头和书面合同。</w:t>
      </w:r>
    </w:p>
    <w:p>
      <w:pPr>
        <w:spacing w:line="400" w:lineRule="exact"/>
        <w:rPr>
          <w:sz w:val="24"/>
        </w:rPr>
      </w:pPr>
      <w:r>
        <w:rPr>
          <w:rFonts w:hint="eastAsia"/>
          <w:sz w:val="24"/>
        </w:rPr>
        <w:t>17.2如果本合同的任何条款和条件在任何时间成为非法、无效或不可强制执行的，则其他条款不应受其影响。</w:t>
      </w:r>
    </w:p>
    <w:p>
      <w:pPr>
        <w:spacing w:line="400" w:lineRule="exact"/>
        <w:rPr>
          <w:sz w:val="24"/>
        </w:rPr>
      </w:pPr>
      <w:r>
        <w:rPr>
          <w:rFonts w:hint="eastAsia"/>
          <w:sz w:val="24"/>
        </w:rPr>
        <w:t>17.3除非另有规定，一方未行使或迟延行使本合同项下的权利、权力或特权并不构成放弃这些权利、权力和特权，而单一或部分行使这些权利、权力和特权并不排斥行使任何其他权利、权力和特权。</w:t>
      </w:r>
    </w:p>
    <w:p>
      <w:pPr>
        <w:spacing w:line="400" w:lineRule="exact"/>
        <w:rPr>
          <w:sz w:val="24"/>
        </w:rPr>
      </w:pPr>
      <w:r>
        <w:rPr>
          <w:rFonts w:hint="eastAsia"/>
          <w:sz w:val="24"/>
        </w:rPr>
        <w:t>17.4监造，在合同设备的制造过程中，招标人有权派出代表对合同设备制造过程中的关键工序进行质量监督，中标人有配合招标人监造的义务。</w:t>
      </w:r>
    </w:p>
    <w:p>
      <w:pPr>
        <w:spacing w:line="400" w:lineRule="exact"/>
        <w:rPr>
          <w:sz w:val="24"/>
        </w:rPr>
      </w:pPr>
      <w:r>
        <w:rPr>
          <w:rFonts w:hint="eastAsia"/>
          <w:sz w:val="24"/>
        </w:rPr>
        <w:t>17.5因非招标人原因，中标人不能向其分包商或外购材料设备供货商及时付款等原因造成了分包商或外购材料设备供货商对招标人发生了围堵上访、法律诉讼等不利的影响，中标人须承担违约责任及对招标人造成的一切损失，同时招标人有权直接向分包商或其外购材料设备供货商直接付款，该笔款项将直接从中标人的合同款项中扣除。</w:t>
      </w:r>
    </w:p>
    <w:p>
      <w:pPr>
        <w:pStyle w:val="3"/>
        <w:numPr>
          <w:ilvl w:val="0"/>
          <w:numId w:val="0"/>
        </w:numPr>
        <w:jc w:val="both"/>
        <w:rPr>
          <w:sz w:val="28"/>
        </w:rPr>
      </w:pPr>
      <w:bookmarkStart w:id="351" w:name="_Toc28959"/>
      <w:bookmarkStart w:id="352" w:name="_Toc9359"/>
      <w:bookmarkStart w:id="353" w:name="_Toc21856"/>
      <w:bookmarkStart w:id="354" w:name="_Toc29136"/>
      <w:bookmarkStart w:id="355" w:name="_Toc22635"/>
      <w:bookmarkStart w:id="356" w:name="_Toc17952"/>
      <w:bookmarkStart w:id="357" w:name="_Toc25801"/>
      <w:bookmarkStart w:id="358" w:name="_Toc49506138"/>
      <w:bookmarkStart w:id="359" w:name="_Toc17815597"/>
      <w:bookmarkStart w:id="360" w:name="_Toc24148"/>
      <w:bookmarkStart w:id="361" w:name="_Toc19077"/>
      <w:r>
        <w:rPr>
          <w:rFonts w:hint="eastAsia"/>
          <w:sz w:val="28"/>
        </w:rPr>
        <w:t>18 签署事项</w:t>
      </w:r>
      <w:bookmarkEnd w:id="351"/>
      <w:bookmarkEnd w:id="352"/>
      <w:bookmarkEnd w:id="353"/>
      <w:bookmarkEnd w:id="354"/>
      <w:bookmarkEnd w:id="355"/>
      <w:bookmarkEnd w:id="356"/>
      <w:bookmarkEnd w:id="357"/>
      <w:bookmarkEnd w:id="358"/>
      <w:bookmarkEnd w:id="359"/>
      <w:bookmarkEnd w:id="360"/>
      <w:bookmarkEnd w:id="361"/>
    </w:p>
    <w:p>
      <w:pPr>
        <w:spacing w:line="360" w:lineRule="auto"/>
        <w:rPr>
          <w:sz w:val="24"/>
        </w:rPr>
      </w:pPr>
      <w:r>
        <w:rPr>
          <w:rFonts w:hint="eastAsia"/>
          <w:sz w:val="24"/>
        </w:rPr>
        <w:t>本合同一式伍份，招标人持 肆份，中标人持壹份；本合同经双方签署后生效。</w:t>
      </w:r>
    </w:p>
    <w:tbl>
      <w:tblPr>
        <w:tblStyle w:val="77"/>
        <w:tblW w:w="9467" w:type="dxa"/>
        <w:tblInd w:w="0" w:type="dxa"/>
        <w:tblLayout w:type="fixed"/>
        <w:tblCellMar>
          <w:top w:w="0" w:type="dxa"/>
          <w:left w:w="108" w:type="dxa"/>
          <w:bottom w:w="0" w:type="dxa"/>
          <w:right w:w="108" w:type="dxa"/>
        </w:tblCellMar>
      </w:tblPr>
      <w:tblGrid>
        <w:gridCol w:w="4773"/>
        <w:gridCol w:w="4694"/>
      </w:tblGrid>
      <w:tr>
        <w:tblPrEx>
          <w:tblCellMar>
            <w:top w:w="0" w:type="dxa"/>
            <w:left w:w="108" w:type="dxa"/>
            <w:bottom w:w="0" w:type="dxa"/>
            <w:right w:w="108" w:type="dxa"/>
          </w:tblCellMar>
        </w:tblPrEx>
        <w:trPr>
          <w:trHeight w:val="556" w:hRule="atLeast"/>
        </w:trPr>
        <w:tc>
          <w:tcPr>
            <w:tcW w:w="4773" w:type="dxa"/>
            <w:tcBorders>
              <w:top w:val="single" w:color="auto" w:sz="4" w:space="0"/>
              <w:left w:val="single" w:color="auto" w:sz="4" w:space="0"/>
              <w:bottom w:val="single" w:color="auto" w:sz="4" w:space="0"/>
              <w:right w:val="single" w:color="auto" w:sz="4" w:space="0"/>
            </w:tcBorders>
          </w:tcPr>
          <w:p>
            <w:pPr>
              <w:spacing w:line="540" w:lineRule="exact"/>
              <w:rPr>
                <w:bCs/>
                <w:sz w:val="24"/>
              </w:rPr>
            </w:pPr>
            <w:r>
              <w:rPr>
                <w:rFonts w:hint="eastAsia"/>
              </w:rPr>
              <w:fldChar w:fldCharType="begin"/>
            </w:r>
            <w:r>
              <w:rPr>
                <w:rFonts w:hint="eastAsia"/>
                <w:bCs/>
                <w:sz w:val="24"/>
              </w:rPr>
              <w:instrText xml:space="preserve">PRIVATE</w:instrText>
            </w:r>
            <w:r>
              <w:rPr>
                <w:bCs/>
                <w:sz w:val="24"/>
              </w:rPr>
              <w:instrText xml:space="preserve"> \* MERGEFORMAT </w:instrText>
            </w:r>
            <w:r>
              <w:rPr>
                <w:rFonts w:hint="eastAsia"/>
                <w:bCs/>
                <w:sz w:val="24"/>
              </w:rPr>
              <w:fldChar w:fldCharType="end"/>
            </w:r>
            <w:r>
              <w:rPr>
                <w:rFonts w:hint="eastAsia"/>
                <w:bCs/>
                <w:sz w:val="24"/>
              </w:rPr>
              <w:t>招标人：（签章）</w:t>
            </w:r>
          </w:p>
        </w:tc>
        <w:tc>
          <w:tcPr>
            <w:tcW w:w="4694" w:type="dxa"/>
            <w:tcBorders>
              <w:top w:val="single" w:color="auto" w:sz="4" w:space="0"/>
              <w:left w:val="single" w:color="auto" w:sz="4" w:space="0"/>
              <w:bottom w:val="single" w:color="auto" w:sz="4" w:space="0"/>
              <w:right w:val="single" w:color="auto" w:sz="4" w:space="0"/>
            </w:tcBorders>
          </w:tcPr>
          <w:p>
            <w:pPr>
              <w:spacing w:line="540" w:lineRule="exact"/>
              <w:rPr>
                <w:bCs/>
                <w:sz w:val="24"/>
              </w:rPr>
            </w:pPr>
            <w:r>
              <w:rPr>
                <w:rFonts w:hint="eastAsia"/>
                <w:bCs/>
                <w:sz w:val="24"/>
              </w:rPr>
              <w:t>中标人：（签章）</w:t>
            </w:r>
          </w:p>
        </w:tc>
      </w:tr>
      <w:tr>
        <w:tblPrEx>
          <w:tblCellMar>
            <w:top w:w="0" w:type="dxa"/>
            <w:left w:w="108" w:type="dxa"/>
            <w:bottom w:w="0" w:type="dxa"/>
            <w:right w:w="108" w:type="dxa"/>
          </w:tblCellMar>
        </w:tblPrEx>
        <w:trPr>
          <w:trHeight w:val="422" w:hRule="atLeast"/>
        </w:trPr>
        <w:tc>
          <w:tcPr>
            <w:tcW w:w="4773" w:type="dxa"/>
            <w:tcBorders>
              <w:top w:val="single" w:color="auto" w:sz="4" w:space="0"/>
              <w:left w:val="single" w:color="auto" w:sz="4" w:space="0"/>
              <w:bottom w:val="single" w:color="auto" w:sz="4" w:space="0"/>
              <w:right w:val="single" w:color="auto" w:sz="4" w:space="0"/>
            </w:tcBorders>
            <w:vAlign w:val="center"/>
          </w:tcPr>
          <w:p>
            <w:pPr>
              <w:spacing w:before="240" w:after="160" w:line="240" w:lineRule="exact"/>
              <w:rPr>
                <w:bCs/>
                <w:sz w:val="24"/>
              </w:rPr>
            </w:pPr>
            <w:r>
              <w:rPr>
                <w:rFonts w:hint="eastAsia"/>
                <w:bCs/>
                <w:sz w:val="24"/>
              </w:rPr>
              <w:t>法定代表人/委托人（签字）：</w:t>
            </w:r>
          </w:p>
        </w:tc>
        <w:tc>
          <w:tcPr>
            <w:tcW w:w="4694" w:type="dxa"/>
            <w:tcBorders>
              <w:top w:val="single" w:color="auto" w:sz="4" w:space="0"/>
              <w:left w:val="single" w:color="auto" w:sz="4" w:space="0"/>
              <w:bottom w:val="single" w:color="auto" w:sz="4" w:space="0"/>
              <w:right w:val="single" w:color="auto" w:sz="4" w:space="0"/>
            </w:tcBorders>
          </w:tcPr>
          <w:p>
            <w:pPr>
              <w:spacing w:before="240" w:after="160" w:line="240" w:lineRule="exact"/>
              <w:rPr>
                <w:bCs/>
                <w:sz w:val="24"/>
              </w:rPr>
            </w:pPr>
            <w:r>
              <w:rPr>
                <w:rFonts w:hint="eastAsia"/>
                <w:bCs/>
                <w:sz w:val="24"/>
              </w:rPr>
              <w:t>法定代表人/委托人（签字）：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开户银行：</w:t>
            </w:r>
          </w:p>
        </w:tc>
        <w:tc>
          <w:tcPr>
            <w:tcW w:w="4694" w:type="dxa"/>
            <w:vAlign w:val="center"/>
          </w:tcPr>
          <w:p>
            <w:pPr>
              <w:rPr>
                <w:rFonts w:cs="仿宋"/>
                <w:bCs/>
                <w:sz w:val="24"/>
              </w:rPr>
            </w:pPr>
            <w:r>
              <w:rPr>
                <w:rFonts w:hint="eastAsia" w:cs="仿宋"/>
                <w:bCs/>
                <w:sz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 xml:space="preserve">户名： </w:t>
            </w:r>
          </w:p>
        </w:tc>
        <w:tc>
          <w:tcPr>
            <w:tcW w:w="4694" w:type="dxa"/>
            <w:vAlign w:val="center"/>
          </w:tcPr>
          <w:p>
            <w:pPr>
              <w:rPr>
                <w:rFonts w:cs="仿宋"/>
                <w:bCs/>
                <w:sz w:val="24"/>
              </w:rPr>
            </w:pPr>
            <w:r>
              <w:rPr>
                <w:rFonts w:hint="eastAsia" w:cs="仿宋"/>
                <w:bCs/>
                <w:sz w:val="24"/>
              </w:rPr>
              <w:t xml:space="preserve">户名：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773" w:type="dxa"/>
            <w:vAlign w:val="center"/>
          </w:tcPr>
          <w:p>
            <w:pPr>
              <w:rPr>
                <w:bCs/>
                <w:sz w:val="24"/>
              </w:rPr>
            </w:pPr>
            <w:r>
              <w:rPr>
                <w:rFonts w:hint="eastAsia"/>
                <w:bCs/>
                <w:sz w:val="24"/>
              </w:rPr>
              <w:t>账号：</w:t>
            </w:r>
          </w:p>
        </w:tc>
        <w:tc>
          <w:tcPr>
            <w:tcW w:w="4694" w:type="dxa"/>
            <w:vAlign w:val="center"/>
          </w:tcPr>
          <w:p>
            <w:pPr>
              <w:rPr>
                <w:rFonts w:cs="仿宋"/>
                <w:bCs/>
                <w:sz w:val="24"/>
              </w:rPr>
            </w:pPr>
            <w:r>
              <w:rPr>
                <w:rFonts w:hint="eastAsia" w:cs="仿宋"/>
                <w:bCs/>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 xml:space="preserve">纳税人识别号： </w:t>
            </w:r>
          </w:p>
        </w:tc>
        <w:tc>
          <w:tcPr>
            <w:tcW w:w="4694" w:type="dxa"/>
            <w:vAlign w:val="center"/>
          </w:tcPr>
          <w:p>
            <w:pPr>
              <w:rPr>
                <w:bCs/>
                <w:sz w:val="24"/>
              </w:rPr>
            </w:pPr>
            <w:r>
              <w:rPr>
                <w:rFonts w:hint="eastAsia"/>
                <w:bCs/>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 xml:space="preserve">邮编： </w:t>
            </w:r>
          </w:p>
        </w:tc>
        <w:tc>
          <w:tcPr>
            <w:tcW w:w="4694" w:type="dxa"/>
            <w:vAlign w:val="center"/>
          </w:tcPr>
          <w:p>
            <w:pPr>
              <w:rPr>
                <w:bCs/>
                <w:sz w:val="24"/>
              </w:rPr>
            </w:pPr>
            <w:r>
              <w:rPr>
                <w:rFonts w:hint="eastAsia"/>
                <w:bCs/>
                <w:sz w:val="24"/>
              </w:rPr>
              <w:t xml:space="preserve">邮编：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 xml:space="preserve">电话： </w:t>
            </w:r>
          </w:p>
        </w:tc>
        <w:tc>
          <w:tcPr>
            <w:tcW w:w="4694" w:type="dxa"/>
            <w:vAlign w:val="center"/>
          </w:tcPr>
          <w:p>
            <w:pPr>
              <w:rPr>
                <w:bCs/>
                <w:sz w:val="24"/>
              </w:rPr>
            </w:pPr>
            <w:r>
              <w:rPr>
                <w:rFonts w:hint="eastAsia"/>
                <w:bCs/>
                <w:sz w:val="24"/>
              </w:rPr>
              <w:t xml:space="preserve">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73" w:type="dxa"/>
            <w:vAlign w:val="center"/>
          </w:tcPr>
          <w:p>
            <w:pPr>
              <w:rPr>
                <w:bCs/>
                <w:sz w:val="24"/>
              </w:rPr>
            </w:pPr>
            <w:r>
              <w:rPr>
                <w:rFonts w:hint="eastAsia"/>
                <w:bCs/>
                <w:sz w:val="24"/>
              </w:rPr>
              <w:t xml:space="preserve">联系人： </w:t>
            </w:r>
          </w:p>
        </w:tc>
        <w:tc>
          <w:tcPr>
            <w:tcW w:w="4694" w:type="dxa"/>
            <w:vAlign w:val="center"/>
          </w:tcPr>
          <w:p>
            <w:pPr>
              <w:rPr>
                <w:bCs/>
                <w:sz w:val="24"/>
              </w:rPr>
            </w:pPr>
            <w:r>
              <w:rPr>
                <w:rFonts w:hint="eastAsia"/>
                <w:bCs/>
                <w:sz w:val="24"/>
              </w:rPr>
              <w:t xml:space="preserve">联系人：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773" w:type="dxa"/>
            <w:vAlign w:val="center"/>
          </w:tcPr>
          <w:p>
            <w:pPr>
              <w:rPr>
                <w:bCs/>
                <w:sz w:val="24"/>
              </w:rPr>
            </w:pPr>
            <w:r>
              <w:rPr>
                <w:rFonts w:hint="eastAsia"/>
                <w:bCs/>
                <w:sz w:val="24"/>
              </w:rPr>
              <w:t xml:space="preserve">地址： </w:t>
            </w:r>
          </w:p>
        </w:tc>
        <w:tc>
          <w:tcPr>
            <w:tcW w:w="4694" w:type="dxa"/>
            <w:vAlign w:val="center"/>
          </w:tcPr>
          <w:p>
            <w:pPr>
              <w:rPr>
                <w:bCs/>
                <w:sz w:val="24"/>
              </w:rPr>
            </w:pPr>
            <w:r>
              <w:rPr>
                <w:rFonts w:hint="eastAsia"/>
                <w:bCs/>
                <w:sz w:val="24"/>
              </w:rPr>
              <w:t xml:space="preserve">地址：  </w:t>
            </w:r>
          </w:p>
        </w:tc>
      </w:tr>
    </w:tbl>
    <w:p>
      <w:pPr>
        <w:rPr>
          <w:sz w:val="28"/>
        </w:rPr>
      </w:pPr>
      <w:bookmarkStart w:id="362" w:name="_Toc26017"/>
      <w:bookmarkStart w:id="363" w:name="_Toc18417"/>
      <w:bookmarkStart w:id="364" w:name="_Toc7026"/>
      <w:bookmarkStart w:id="365" w:name="_Toc14808"/>
      <w:bookmarkStart w:id="366" w:name="_Toc49503559"/>
      <w:bookmarkStart w:id="367" w:name="_Toc51786899"/>
      <w:bookmarkStart w:id="368" w:name="_Toc41644230"/>
      <w:r>
        <w:rPr>
          <w:rFonts w:hint="eastAsia"/>
          <w:sz w:val="28"/>
        </w:rPr>
        <w:br w:type="page"/>
      </w:r>
    </w:p>
    <w:p>
      <w:pPr>
        <w:pStyle w:val="3"/>
        <w:numPr>
          <w:ilvl w:val="0"/>
          <w:numId w:val="0"/>
        </w:numPr>
        <w:ind w:left="562"/>
        <w:jc w:val="both"/>
        <w:rPr>
          <w:sz w:val="28"/>
        </w:rPr>
      </w:pPr>
      <w:r>
        <w:rPr>
          <w:rFonts w:hint="eastAsia"/>
          <w:sz w:val="28"/>
        </w:rPr>
        <w:t>附件一：设备清单及主要设备分项配置明细表</w:t>
      </w:r>
      <w:bookmarkEnd w:id="362"/>
      <w:bookmarkEnd w:id="363"/>
      <w:bookmarkEnd w:id="364"/>
      <w:bookmarkEnd w:id="365"/>
    </w:p>
    <w:p>
      <w:pPr>
        <w:spacing w:before="100" w:beforeAutospacing="1" w:after="100" w:afterAutospacing="1" w:line="360" w:lineRule="auto"/>
        <w:ind w:firstLine="720" w:firstLineChars="300"/>
        <w:rPr>
          <w:sz w:val="24"/>
          <w:szCs w:val="24"/>
        </w:rPr>
      </w:pPr>
      <w:r>
        <w:rPr>
          <w:rFonts w:hint="eastAsia"/>
          <w:sz w:val="24"/>
          <w:szCs w:val="24"/>
        </w:rPr>
        <w:t>1.1设备清单</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41"/>
        <w:gridCol w:w="2126"/>
        <w:gridCol w:w="748"/>
        <w:gridCol w:w="812"/>
        <w:gridCol w:w="708"/>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89" w:type="dxa"/>
            <w:vAlign w:val="center"/>
          </w:tcPr>
          <w:p>
            <w:pPr>
              <w:pStyle w:val="59"/>
              <w:ind w:left="482" w:hanging="482"/>
              <w:jc w:val="center"/>
              <w:rPr>
                <w:b/>
                <w:sz w:val="24"/>
                <w:szCs w:val="24"/>
              </w:rPr>
            </w:pPr>
            <w:r>
              <w:rPr>
                <w:rFonts w:hint="eastAsia"/>
                <w:b/>
                <w:sz w:val="24"/>
                <w:szCs w:val="24"/>
              </w:rPr>
              <w:t>序号</w:t>
            </w:r>
          </w:p>
        </w:tc>
        <w:tc>
          <w:tcPr>
            <w:tcW w:w="1541" w:type="dxa"/>
            <w:vAlign w:val="center"/>
          </w:tcPr>
          <w:p>
            <w:pPr>
              <w:pStyle w:val="59"/>
              <w:ind w:left="482" w:hanging="482"/>
              <w:jc w:val="left"/>
              <w:rPr>
                <w:b/>
                <w:sz w:val="24"/>
                <w:szCs w:val="24"/>
              </w:rPr>
            </w:pPr>
            <w:r>
              <w:rPr>
                <w:rFonts w:hint="eastAsia"/>
                <w:b/>
                <w:sz w:val="24"/>
                <w:szCs w:val="24"/>
              </w:rPr>
              <w:t>产品及部件名称</w:t>
            </w:r>
          </w:p>
        </w:tc>
        <w:tc>
          <w:tcPr>
            <w:tcW w:w="2126" w:type="dxa"/>
            <w:vAlign w:val="center"/>
          </w:tcPr>
          <w:p>
            <w:pPr>
              <w:pStyle w:val="59"/>
              <w:ind w:left="482" w:hanging="482"/>
              <w:jc w:val="center"/>
              <w:rPr>
                <w:b/>
                <w:sz w:val="24"/>
                <w:szCs w:val="24"/>
              </w:rPr>
            </w:pPr>
            <w:r>
              <w:rPr>
                <w:rFonts w:hint="eastAsia"/>
                <w:b/>
                <w:sz w:val="24"/>
                <w:szCs w:val="24"/>
              </w:rPr>
              <w:t>规格型号及</w:t>
            </w:r>
          </w:p>
          <w:p>
            <w:pPr>
              <w:pStyle w:val="59"/>
              <w:ind w:left="482" w:hanging="482"/>
              <w:jc w:val="center"/>
              <w:rPr>
                <w:b/>
                <w:sz w:val="24"/>
                <w:szCs w:val="24"/>
              </w:rPr>
            </w:pPr>
            <w:r>
              <w:rPr>
                <w:rFonts w:hint="eastAsia"/>
                <w:b/>
                <w:sz w:val="24"/>
                <w:szCs w:val="24"/>
              </w:rPr>
              <w:t>技术参数</w:t>
            </w:r>
          </w:p>
        </w:tc>
        <w:tc>
          <w:tcPr>
            <w:tcW w:w="748" w:type="dxa"/>
            <w:vAlign w:val="center"/>
          </w:tcPr>
          <w:p>
            <w:pPr>
              <w:pStyle w:val="59"/>
              <w:ind w:left="482" w:hanging="482"/>
              <w:jc w:val="center"/>
              <w:rPr>
                <w:b/>
                <w:sz w:val="24"/>
                <w:szCs w:val="24"/>
              </w:rPr>
            </w:pPr>
            <w:r>
              <w:rPr>
                <w:rFonts w:hint="eastAsia"/>
                <w:b/>
                <w:sz w:val="24"/>
                <w:szCs w:val="24"/>
              </w:rPr>
              <w:t>单位</w:t>
            </w:r>
          </w:p>
        </w:tc>
        <w:tc>
          <w:tcPr>
            <w:tcW w:w="812" w:type="dxa"/>
            <w:vAlign w:val="center"/>
          </w:tcPr>
          <w:p>
            <w:pPr>
              <w:pStyle w:val="59"/>
              <w:ind w:left="482" w:hanging="482"/>
              <w:jc w:val="center"/>
              <w:rPr>
                <w:b/>
                <w:sz w:val="24"/>
                <w:szCs w:val="24"/>
              </w:rPr>
            </w:pPr>
            <w:r>
              <w:rPr>
                <w:rFonts w:hint="eastAsia"/>
                <w:b/>
                <w:sz w:val="24"/>
                <w:szCs w:val="24"/>
              </w:rPr>
              <w:t>数量</w:t>
            </w:r>
          </w:p>
        </w:tc>
        <w:tc>
          <w:tcPr>
            <w:tcW w:w="708" w:type="dxa"/>
            <w:vAlign w:val="center"/>
          </w:tcPr>
          <w:p>
            <w:pPr>
              <w:pStyle w:val="59"/>
              <w:ind w:left="482" w:hanging="482"/>
              <w:jc w:val="center"/>
              <w:rPr>
                <w:b/>
                <w:sz w:val="24"/>
                <w:szCs w:val="24"/>
              </w:rPr>
            </w:pPr>
            <w:r>
              <w:rPr>
                <w:rFonts w:hint="eastAsia"/>
                <w:b/>
                <w:sz w:val="24"/>
                <w:szCs w:val="24"/>
              </w:rPr>
              <w:t>单价</w:t>
            </w:r>
          </w:p>
        </w:tc>
        <w:tc>
          <w:tcPr>
            <w:tcW w:w="708" w:type="dxa"/>
            <w:vAlign w:val="center"/>
          </w:tcPr>
          <w:p>
            <w:pPr>
              <w:pStyle w:val="59"/>
              <w:ind w:left="482" w:hanging="482"/>
              <w:jc w:val="center"/>
              <w:rPr>
                <w:b/>
                <w:sz w:val="24"/>
                <w:szCs w:val="24"/>
              </w:rPr>
            </w:pPr>
            <w:r>
              <w:rPr>
                <w:rFonts w:hint="eastAsia"/>
                <w:b/>
                <w:sz w:val="24"/>
                <w:szCs w:val="24"/>
              </w:rPr>
              <w:t>总价</w:t>
            </w:r>
          </w:p>
        </w:tc>
        <w:tc>
          <w:tcPr>
            <w:tcW w:w="708" w:type="dxa"/>
            <w:vAlign w:val="center"/>
          </w:tcPr>
          <w:p>
            <w:pPr>
              <w:pStyle w:val="59"/>
              <w:ind w:left="482" w:hanging="482"/>
              <w:jc w:val="center"/>
              <w:rPr>
                <w:b/>
                <w:sz w:val="24"/>
                <w:szCs w:val="24"/>
              </w:rPr>
            </w:pPr>
            <w:r>
              <w:rPr>
                <w:rFonts w:hint="eastAsia"/>
                <w:b/>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9"/>
              <w:ind w:left="480" w:hanging="480"/>
              <w:jc w:val="center"/>
              <w:rPr>
                <w:sz w:val="24"/>
                <w:szCs w:val="24"/>
              </w:rPr>
            </w:pPr>
            <w:r>
              <w:rPr>
                <w:rFonts w:hint="eastAsia"/>
                <w:sz w:val="24"/>
                <w:szCs w:val="24"/>
              </w:rPr>
              <w:t>1</w:t>
            </w:r>
          </w:p>
        </w:tc>
        <w:tc>
          <w:tcPr>
            <w:tcW w:w="1541" w:type="dxa"/>
            <w:vAlign w:val="center"/>
          </w:tcPr>
          <w:p>
            <w:pPr>
              <w:pStyle w:val="59"/>
              <w:ind w:left="480" w:hanging="480"/>
              <w:jc w:val="center"/>
              <w:rPr>
                <w:sz w:val="24"/>
                <w:szCs w:val="24"/>
              </w:rPr>
            </w:pPr>
          </w:p>
        </w:tc>
        <w:tc>
          <w:tcPr>
            <w:tcW w:w="2126" w:type="dxa"/>
            <w:vAlign w:val="center"/>
          </w:tcPr>
          <w:p>
            <w:pPr>
              <w:pStyle w:val="59"/>
              <w:ind w:left="480" w:hanging="480"/>
              <w:jc w:val="center"/>
              <w:rPr>
                <w:sz w:val="24"/>
                <w:szCs w:val="24"/>
              </w:rPr>
            </w:pPr>
          </w:p>
        </w:tc>
        <w:tc>
          <w:tcPr>
            <w:tcW w:w="748" w:type="dxa"/>
            <w:vAlign w:val="center"/>
          </w:tcPr>
          <w:p>
            <w:pPr>
              <w:pStyle w:val="59"/>
              <w:ind w:left="480" w:hanging="480"/>
              <w:jc w:val="center"/>
              <w:rPr>
                <w:sz w:val="24"/>
                <w:szCs w:val="24"/>
              </w:rPr>
            </w:pPr>
          </w:p>
        </w:tc>
        <w:tc>
          <w:tcPr>
            <w:tcW w:w="812"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9"/>
              <w:ind w:left="480" w:hanging="480"/>
              <w:jc w:val="center"/>
              <w:rPr>
                <w:sz w:val="24"/>
                <w:szCs w:val="24"/>
              </w:rPr>
            </w:pPr>
            <w:r>
              <w:rPr>
                <w:rFonts w:hint="eastAsia"/>
                <w:sz w:val="24"/>
                <w:szCs w:val="24"/>
              </w:rPr>
              <w:t>2</w:t>
            </w:r>
          </w:p>
        </w:tc>
        <w:tc>
          <w:tcPr>
            <w:tcW w:w="1541" w:type="dxa"/>
            <w:vAlign w:val="center"/>
          </w:tcPr>
          <w:p>
            <w:pPr>
              <w:pStyle w:val="59"/>
              <w:ind w:left="480" w:hanging="480"/>
              <w:jc w:val="center"/>
              <w:rPr>
                <w:sz w:val="24"/>
                <w:szCs w:val="24"/>
              </w:rPr>
            </w:pPr>
          </w:p>
        </w:tc>
        <w:tc>
          <w:tcPr>
            <w:tcW w:w="2126" w:type="dxa"/>
            <w:vAlign w:val="center"/>
          </w:tcPr>
          <w:p>
            <w:pPr>
              <w:pStyle w:val="59"/>
              <w:ind w:left="480" w:hanging="480"/>
              <w:jc w:val="center"/>
              <w:rPr>
                <w:sz w:val="24"/>
                <w:szCs w:val="24"/>
              </w:rPr>
            </w:pPr>
          </w:p>
        </w:tc>
        <w:tc>
          <w:tcPr>
            <w:tcW w:w="748" w:type="dxa"/>
            <w:vAlign w:val="center"/>
          </w:tcPr>
          <w:p>
            <w:pPr>
              <w:pStyle w:val="59"/>
              <w:ind w:left="480" w:hanging="480"/>
              <w:jc w:val="center"/>
              <w:rPr>
                <w:sz w:val="24"/>
                <w:szCs w:val="24"/>
              </w:rPr>
            </w:pPr>
          </w:p>
        </w:tc>
        <w:tc>
          <w:tcPr>
            <w:tcW w:w="812"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9"/>
              <w:ind w:left="480" w:hanging="480"/>
              <w:jc w:val="center"/>
              <w:rPr>
                <w:sz w:val="24"/>
                <w:szCs w:val="24"/>
              </w:rPr>
            </w:pPr>
            <w:r>
              <w:rPr>
                <w:sz w:val="24"/>
                <w:szCs w:val="24"/>
              </w:rPr>
              <w:t>…</w:t>
            </w:r>
          </w:p>
        </w:tc>
        <w:tc>
          <w:tcPr>
            <w:tcW w:w="1541" w:type="dxa"/>
            <w:vAlign w:val="center"/>
          </w:tcPr>
          <w:p>
            <w:pPr>
              <w:pStyle w:val="59"/>
              <w:ind w:left="480" w:hanging="480"/>
              <w:jc w:val="center"/>
              <w:rPr>
                <w:sz w:val="24"/>
                <w:szCs w:val="24"/>
              </w:rPr>
            </w:pPr>
          </w:p>
        </w:tc>
        <w:tc>
          <w:tcPr>
            <w:tcW w:w="2126" w:type="dxa"/>
            <w:vAlign w:val="center"/>
          </w:tcPr>
          <w:p>
            <w:pPr>
              <w:pStyle w:val="59"/>
              <w:ind w:left="480" w:hanging="480"/>
              <w:jc w:val="center"/>
              <w:rPr>
                <w:sz w:val="24"/>
                <w:szCs w:val="24"/>
              </w:rPr>
            </w:pPr>
          </w:p>
        </w:tc>
        <w:tc>
          <w:tcPr>
            <w:tcW w:w="748" w:type="dxa"/>
            <w:vAlign w:val="center"/>
          </w:tcPr>
          <w:p>
            <w:pPr>
              <w:pStyle w:val="59"/>
              <w:ind w:left="480" w:hanging="480"/>
              <w:jc w:val="center"/>
              <w:rPr>
                <w:sz w:val="24"/>
                <w:szCs w:val="24"/>
              </w:rPr>
            </w:pPr>
          </w:p>
        </w:tc>
        <w:tc>
          <w:tcPr>
            <w:tcW w:w="812"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c>
          <w:tcPr>
            <w:tcW w:w="708" w:type="dxa"/>
            <w:vAlign w:val="center"/>
          </w:tcPr>
          <w:p>
            <w:pPr>
              <w:pStyle w:val="59"/>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9"/>
              <w:ind w:left="480" w:hanging="480"/>
              <w:jc w:val="center"/>
              <w:rPr>
                <w:sz w:val="24"/>
                <w:szCs w:val="24"/>
              </w:rPr>
            </w:pPr>
            <w:r>
              <w:rPr>
                <w:rFonts w:hint="eastAsia"/>
                <w:sz w:val="24"/>
                <w:szCs w:val="24"/>
              </w:rPr>
              <w:t>合计</w:t>
            </w:r>
          </w:p>
        </w:tc>
        <w:tc>
          <w:tcPr>
            <w:tcW w:w="1541" w:type="dxa"/>
            <w:vAlign w:val="center"/>
          </w:tcPr>
          <w:p>
            <w:pPr>
              <w:pStyle w:val="59"/>
              <w:ind w:left="480" w:hanging="480"/>
              <w:jc w:val="center"/>
              <w:rPr>
                <w:sz w:val="24"/>
                <w:szCs w:val="24"/>
              </w:rPr>
            </w:pPr>
          </w:p>
        </w:tc>
        <w:tc>
          <w:tcPr>
            <w:tcW w:w="2126" w:type="dxa"/>
            <w:vAlign w:val="center"/>
          </w:tcPr>
          <w:p>
            <w:pPr>
              <w:pStyle w:val="59"/>
              <w:ind w:left="480" w:hanging="480"/>
              <w:jc w:val="center"/>
              <w:rPr>
                <w:sz w:val="24"/>
                <w:szCs w:val="24"/>
              </w:rPr>
            </w:pPr>
          </w:p>
        </w:tc>
        <w:tc>
          <w:tcPr>
            <w:tcW w:w="748" w:type="dxa"/>
            <w:vAlign w:val="center"/>
          </w:tcPr>
          <w:p>
            <w:pPr>
              <w:pStyle w:val="59"/>
              <w:ind w:left="480" w:hanging="480"/>
              <w:jc w:val="center"/>
              <w:rPr>
                <w:sz w:val="24"/>
                <w:szCs w:val="24"/>
              </w:rPr>
            </w:pPr>
          </w:p>
        </w:tc>
        <w:tc>
          <w:tcPr>
            <w:tcW w:w="812" w:type="dxa"/>
            <w:vAlign w:val="center"/>
          </w:tcPr>
          <w:p>
            <w:pPr>
              <w:pStyle w:val="59"/>
              <w:ind w:left="480" w:hanging="480"/>
              <w:jc w:val="center"/>
              <w:rPr>
                <w:sz w:val="24"/>
                <w:szCs w:val="24"/>
              </w:rPr>
            </w:pPr>
          </w:p>
        </w:tc>
        <w:tc>
          <w:tcPr>
            <w:tcW w:w="708" w:type="dxa"/>
            <w:vAlign w:val="center"/>
          </w:tcPr>
          <w:p>
            <w:pPr>
              <w:jc w:val="center"/>
            </w:pPr>
          </w:p>
        </w:tc>
        <w:tc>
          <w:tcPr>
            <w:tcW w:w="708" w:type="dxa"/>
            <w:vAlign w:val="center"/>
          </w:tcPr>
          <w:p>
            <w:pPr>
              <w:jc w:val="center"/>
            </w:pPr>
          </w:p>
        </w:tc>
        <w:tc>
          <w:tcPr>
            <w:tcW w:w="708" w:type="dxa"/>
            <w:vAlign w:val="center"/>
          </w:tcPr>
          <w:p>
            <w:pPr>
              <w:jc w:val="center"/>
            </w:pPr>
          </w:p>
        </w:tc>
      </w:tr>
    </w:tbl>
    <w:p>
      <w:pPr>
        <w:spacing w:before="100" w:beforeAutospacing="1" w:after="100" w:afterAutospacing="1" w:line="360" w:lineRule="auto"/>
        <w:ind w:firstLine="720" w:firstLineChars="300"/>
        <w:rPr>
          <w:i/>
          <w:iCs/>
          <w:sz w:val="24"/>
          <w:szCs w:val="24"/>
        </w:rPr>
      </w:pPr>
      <w:r>
        <w:rPr>
          <w:rFonts w:hint="eastAsia"/>
          <w:sz w:val="24"/>
          <w:szCs w:val="24"/>
        </w:rPr>
        <w:t>1.2主要设备分项配置明细表</w:t>
      </w:r>
    </w:p>
    <w:tbl>
      <w:tblPr>
        <w:tblStyle w:val="7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2545"/>
        <w:gridCol w:w="2539"/>
        <w:gridCol w:w="1281"/>
        <w:gridCol w:w="10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054" w:type="dxa"/>
            <w:vAlign w:val="center"/>
          </w:tcPr>
          <w:p>
            <w:pPr>
              <w:spacing w:line="240" w:lineRule="exact"/>
              <w:jc w:val="center"/>
              <w:rPr>
                <w:rFonts w:cs="宋体"/>
                <w:spacing w:val="24"/>
                <w:sz w:val="24"/>
                <w:szCs w:val="24"/>
              </w:rPr>
            </w:pPr>
            <w:r>
              <w:rPr>
                <w:rFonts w:hint="eastAsia" w:cs="宋体"/>
                <w:spacing w:val="24"/>
                <w:sz w:val="24"/>
                <w:szCs w:val="24"/>
              </w:rPr>
              <w:t>序号</w:t>
            </w:r>
          </w:p>
        </w:tc>
        <w:tc>
          <w:tcPr>
            <w:tcW w:w="2545" w:type="dxa"/>
            <w:vAlign w:val="center"/>
          </w:tcPr>
          <w:p>
            <w:pPr>
              <w:spacing w:line="240" w:lineRule="exact"/>
              <w:jc w:val="center"/>
              <w:rPr>
                <w:rFonts w:cs="宋体"/>
                <w:spacing w:val="24"/>
                <w:sz w:val="24"/>
                <w:szCs w:val="24"/>
              </w:rPr>
            </w:pPr>
            <w:r>
              <w:rPr>
                <w:rFonts w:hint="eastAsia" w:cs="宋体"/>
                <w:spacing w:val="24"/>
                <w:sz w:val="24"/>
                <w:szCs w:val="24"/>
              </w:rPr>
              <w:t>主要设备部件名称</w:t>
            </w:r>
          </w:p>
        </w:tc>
        <w:tc>
          <w:tcPr>
            <w:tcW w:w="2539" w:type="dxa"/>
            <w:vAlign w:val="center"/>
          </w:tcPr>
          <w:p>
            <w:pPr>
              <w:spacing w:line="240" w:lineRule="exact"/>
              <w:jc w:val="center"/>
              <w:rPr>
                <w:rFonts w:cs="宋体"/>
                <w:spacing w:val="24"/>
                <w:sz w:val="24"/>
                <w:szCs w:val="24"/>
              </w:rPr>
            </w:pPr>
            <w:r>
              <w:rPr>
                <w:rFonts w:hint="eastAsia" w:cs="宋体"/>
                <w:spacing w:val="24"/>
                <w:sz w:val="24"/>
                <w:szCs w:val="24"/>
              </w:rPr>
              <w:t>规格型号</w:t>
            </w:r>
          </w:p>
        </w:tc>
        <w:tc>
          <w:tcPr>
            <w:tcW w:w="1281" w:type="dxa"/>
            <w:vAlign w:val="center"/>
          </w:tcPr>
          <w:p>
            <w:pPr>
              <w:spacing w:line="240" w:lineRule="exact"/>
              <w:jc w:val="center"/>
              <w:rPr>
                <w:rFonts w:cs="宋体"/>
                <w:spacing w:val="24"/>
                <w:sz w:val="24"/>
                <w:szCs w:val="24"/>
              </w:rPr>
            </w:pPr>
            <w:r>
              <w:rPr>
                <w:rFonts w:hint="eastAsia" w:cs="宋体"/>
                <w:spacing w:val="24"/>
                <w:sz w:val="24"/>
                <w:szCs w:val="24"/>
              </w:rPr>
              <w:t>数量</w:t>
            </w:r>
          </w:p>
        </w:tc>
        <w:tc>
          <w:tcPr>
            <w:tcW w:w="1008" w:type="dxa"/>
            <w:vAlign w:val="center"/>
          </w:tcPr>
          <w:p>
            <w:pPr>
              <w:spacing w:line="240" w:lineRule="exact"/>
              <w:jc w:val="center"/>
              <w:rPr>
                <w:rFonts w:cs="宋体"/>
                <w:spacing w:val="24"/>
                <w:sz w:val="24"/>
                <w:szCs w:val="24"/>
              </w:rPr>
            </w:pPr>
            <w:r>
              <w:rPr>
                <w:rFonts w:hint="eastAsia" w:cs="宋体"/>
                <w:spacing w:val="24"/>
                <w:sz w:val="24"/>
                <w:szCs w:val="24"/>
              </w:rPr>
              <w:t>品牌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54" w:type="dxa"/>
            <w:vAlign w:val="center"/>
          </w:tcPr>
          <w:p>
            <w:pPr>
              <w:spacing w:line="240" w:lineRule="exact"/>
              <w:jc w:val="center"/>
              <w:rPr>
                <w:rFonts w:cs="宋体"/>
                <w:spacing w:val="24"/>
                <w:sz w:val="24"/>
                <w:szCs w:val="24"/>
              </w:rPr>
            </w:pPr>
          </w:p>
        </w:tc>
        <w:tc>
          <w:tcPr>
            <w:tcW w:w="2545" w:type="dxa"/>
            <w:vAlign w:val="center"/>
          </w:tcPr>
          <w:p>
            <w:pPr>
              <w:spacing w:line="240" w:lineRule="exact"/>
              <w:jc w:val="center"/>
              <w:rPr>
                <w:rFonts w:cs="宋体"/>
                <w:spacing w:val="24"/>
                <w:sz w:val="24"/>
                <w:szCs w:val="24"/>
              </w:rPr>
            </w:pPr>
          </w:p>
        </w:tc>
        <w:tc>
          <w:tcPr>
            <w:tcW w:w="2539" w:type="dxa"/>
            <w:vAlign w:val="center"/>
          </w:tcPr>
          <w:p>
            <w:pPr>
              <w:spacing w:line="240" w:lineRule="exact"/>
              <w:jc w:val="center"/>
              <w:rPr>
                <w:rFonts w:cs="宋体"/>
                <w:spacing w:val="24"/>
                <w:sz w:val="24"/>
                <w:szCs w:val="24"/>
              </w:rPr>
            </w:pPr>
          </w:p>
        </w:tc>
        <w:tc>
          <w:tcPr>
            <w:tcW w:w="1281" w:type="dxa"/>
            <w:vAlign w:val="center"/>
          </w:tcPr>
          <w:p>
            <w:pPr>
              <w:spacing w:line="240" w:lineRule="exact"/>
              <w:jc w:val="center"/>
              <w:rPr>
                <w:rFonts w:cs="宋体"/>
                <w:spacing w:val="24"/>
                <w:sz w:val="24"/>
                <w:szCs w:val="24"/>
              </w:rPr>
            </w:pPr>
          </w:p>
        </w:tc>
        <w:tc>
          <w:tcPr>
            <w:tcW w:w="1008" w:type="dxa"/>
            <w:vAlign w:val="center"/>
          </w:tcPr>
          <w:p>
            <w:pPr>
              <w:spacing w:line="240" w:lineRule="exact"/>
              <w:jc w:val="center"/>
              <w:rPr>
                <w:rFonts w:cs="宋体"/>
                <w:spacing w:val="24"/>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54" w:type="dxa"/>
            <w:vAlign w:val="center"/>
          </w:tcPr>
          <w:p>
            <w:pPr>
              <w:spacing w:line="240" w:lineRule="exact"/>
              <w:jc w:val="center"/>
              <w:rPr>
                <w:rFonts w:cs="宋体"/>
                <w:spacing w:val="24"/>
                <w:sz w:val="24"/>
                <w:szCs w:val="24"/>
              </w:rPr>
            </w:pPr>
          </w:p>
        </w:tc>
        <w:tc>
          <w:tcPr>
            <w:tcW w:w="2545" w:type="dxa"/>
            <w:vAlign w:val="center"/>
          </w:tcPr>
          <w:p>
            <w:pPr>
              <w:spacing w:line="240" w:lineRule="exact"/>
              <w:jc w:val="center"/>
              <w:rPr>
                <w:rFonts w:cs="宋体"/>
                <w:spacing w:val="24"/>
                <w:sz w:val="24"/>
                <w:szCs w:val="24"/>
              </w:rPr>
            </w:pPr>
          </w:p>
        </w:tc>
        <w:tc>
          <w:tcPr>
            <w:tcW w:w="2539" w:type="dxa"/>
            <w:vAlign w:val="center"/>
          </w:tcPr>
          <w:p>
            <w:pPr>
              <w:spacing w:line="240" w:lineRule="exact"/>
              <w:jc w:val="center"/>
              <w:rPr>
                <w:rFonts w:cs="宋体"/>
                <w:spacing w:val="24"/>
                <w:sz w:val="24"/>
                <w:szCs w:val="24"/>
              </w:rPr>
            </w:pPr>
          </w:p>
        </w:tc>
        <w:tc>
          <w:tcPr>
            <w:tcW w:w="1281" w:type="dxa"/>
            <w:vAlign w:val="center"/>
          </w:tcPr>
          <w:p>
            <w:pPr>
              <w:spacing w:line="240" w:lineRule="exact"/>
              <w:jc w:val="center"/>
              <w:rPr>
                <w:rFonts w:cs="宋体"/>
                <w:spacing w:val="24"/>
                <w:sz w:val="24"/>
                <w:szCs w:val="24"/>
              </w:rPr>
            </w:pPr>
          </w:p>
        </w:tc>
        <w:tc>
          <w:tcPr>
            <w:tcW w:w="1008" w:type="dxa"/>
            <w:vAlign w:val="center"/>
          </w:tcPr>
          <w:p>
            <w:pPr>
              <w:spacing w:line="240" w:lineRule="exact"/>
              <w:jc w:val="center"/>
              <w:rPr>
                <w:rFonts w:cs="宋体"/>
                <w:spacing w:val="24"/>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54" w:type="dxa"/>
            <w:vAlign w:val="center"/>
          </w:tcPr>
          <w:p>
            <w:pPr>
              <w:spacing w:line="240" w:lineRule="exact"/>
              <w:jc w:val="center"/>
              <w:rPr>
                <w:rFonts w:cs="宋体"/>
                <w:spacing w:val="24"/>
                <w:sz w:val="24"/>
                <w:szCs w:val="24"/>
              </w:rPr>
            </w:pPr>
          </w:p>
        </w:tc>
        <w:tc>
          <w:tcPr>
            <w:tcW w:w="2545" w:type="dxa"/>
            <w:vAlign w:val="center"/>
          </w:tcPr>
          <w:p>
            <w:pPr>
              <w:spacing w:line="240" w:lineRule="exact"/>
              <w:jc w:val="center"/>
              <w:rPr>
                <w:rFonts w:cs="宋体"/>
                <w:spacing w:val="24"/>
                <w:sz w:val="24"/>
                <w:szCs w:val="24"/>
              </w:rPr>
            </w:pPr>
          </w:p>
        </w:tc>
        <w:tc>
          <w:tcPr>
            <w:tcW w:w="2539" w:type="dxa"/>
            <w:vAlign w:val="center"/>
          </w:tcPr>
          <w:p>
            <w:pPr>
              <w:spacing w:line="240" w:lineRule="exact"/>
              <w:jc w:val="center"/>
              <w:rPr>
                <w:rFonts w:cs="宋体"/>
                <w:spacing w:val="24"/>
                <w:sz w:val="24"/>
                <w:szCs w:val="24"/>
              </w:rPr>
            </w:pPr>
          </w:p>
        </w:tc>
        <w:tc>
          <w:tcPr>
            <w:tcW w:w="1281" w:type="dxa"/>
            <w:vAlign w:val="center"/>
          </w:tcPr>
          <w:p>
            <w:pPr>
              <w:spacing w:line="240" w:lineRule="exact"/>
              <w:jc w:val="center"/>
              <w:rPr>
                <w:rFonts w:cs="宋体"/>
                <w:spacing w:val="24"/>
                <w:sz w:val="24"/>
                <w:szCs w:val="24"/>
              </w:rPr>
            </w:pPr>
          </w:p>
        </w:tc>
        <w:tc>
          <w:tcPr>
            <w:tcW w:w="1008" w:type="dxa"/>
            <w:vAlign w:val="center"/>
          </w:tcPr>
          <w:p>
            <w:pPr>
              <w:spacing w:line="240" w:lineRule="exact"/>
              <w:jc w:val="center"/>
              <w:rPr>
                <w:rFonts w:cs="宋体"/>
                <w:spacing w:val="24"/>
                <w:sz w:val="24"/>
                <w:szCs w:val="24"/>
              </w:rPr>
            </w:pPr>
          </w:p>
        </w:tc>
      </w:tr>
    </w:tbl>
    <w:p>
      <w:pPr>
        <w:pStyle w:val="3"/>
        <w:numPr>
          <w:ilvl w:val="0"/>
          <w:numId w:val="0"/>
        </w:numPr>
        <w:spacing w:before="326" w:beforeLines="100"/>
        <w:ind w:left="562"/>
        <w:jc w:val="both"/>
        <w:rPr>
          <w:sz w:val="28"/>
        </w:rPr>
      </w:pPr>
      <w:bookmarkStart w:id="369" w:name="_Toc78960851"/>
      <w:bookmarkEnd w:id="369"/>
      <w:bookmarkStart w:id="370" w:name="_Toc28360"/>
      <w:bookmarkStart w:id="371" w:name="_Toc31332"/>
      <w:bookmarkStart w:id="372" w:name="_Toc6084"/>
      <w:bookmarkStart w:id="373" w:name="_Toc23207"/>
      <w:r>
        <w:rPr>
          <w:rFonts w:hint="eastAsia"/>
          <w:sz w:val="28"/>
        </w:rPr>
        <w:t>附件二 技术要求</w:t>
      </w:r>
      <w:bookmarkEnd w:id="370"/>
      <w:bookmarkEnd w:id="371"/>
      <w:bookmarkEnd w:id="372"/>
      <w:bookmarkEnd w:id="373"/>
    </w:p>
    <w:p/>
    <w:p/>
    <w:p/>
    <w:p/>
    <w:p/>
    <w:p>
      <w:pPr>
        <w:jc w:val="right"/>
        <w:rPr>
          <w:rFonts w:eastAsia="楷体_GB2312"/>
          <w:sz w:val="24"/>
        </w:rPr>
      </w:pPr>
    </w:p>
    <w:p>
      <w:pPr>
        <w:pStyle w:val="2"/>
        <w:rPr>
          <w:rFonts w:ascii="Times New Roman" w:hAnsi="Times New Roman" w:cs="宋体"/>
          <w:sz w:val="21"/>
          <w:szCs w:val="21"/>
        </w:rPr>
        <w:sectPr>
          <w:footerReference r:id="rId8" w:type="first"/>
          <w:footerReference r:id="rId7" w:type="default"/>
          <w:pgSz w:w="11906" w:h="16838"/>
          <w:pgMar w:top="1440" w:right="1080" w:bottom="1440" w:left="1080" w:header="680" w:footer="680" w:gutter="0"/>
          <w:pgNumType w:start="43"/>
          <w:cols w:space="720" w:num="1"/>
          <w:titlePg/>
          <w:docGrid w:type="lines" w:linePitch="326" w:charSpace="0"/>
        </w:sectPr>
      </w:pPr>
    </w:p>
    <w:p>
      <w:pPr>
        <w:spacing w:line="440" w:lineRule="exact"/>
        <w:ind w:firstLine="643" w:firstLineChars="200"/>
        <w:jc w:val="center"/>
        <w:rPr>
          <w:rFonts w:cs="宋体"/>
          <w:b/>
          <w:bCs/>
          <w:sz w:val="32"/>
          <w:szCs w:val="32"/>
          <w:lang w:val="zh-CN"/>
        </w:rPr>
      </w:pPr>
      <w:bookmarkStart w:id="374" w:name="_Toc21202"/>
      <w:bookmarkStart w:id="375" w:name="_Toc26405"/>
      <w:r>
        <w:rPr>
          <w:rFonts w:hint="eastAsia" w:cs="宋体"/>
          <w:b/>
          <w:bCs/>
          <w:sz w:val="32"/>
          <w:szCs w:val="32"/>
          <w:lang w:val="zh-CN"/>
        </w:rPr>
        <w:t>二   质量保修书</w:t>
      </w:r>
      <w:bookmarkEnd w:id="366"/>
      <w:bookmarkEnd w:id="367"/>
      <w:bookmarkEnd w:id="368"/>
      <w:bookmarkEnd w:id="374"/>
      <w:bookmarkEnd w:id="375"/>
    </w:p>
    <w:p>
      <w:pPr>
        <w:spacing w:line="440" w:lineRule="exact"/>
        <w:ind w:firstLine="480" w:firstLineChars="200"/>
        <w:rPr>
          <w:rFonts w:cs="宋体"/>
          <w:sz w:val="24"/>
          <w:szCs w:val="24"/>
          <w:lang w:val="zh-CN"/>
        </w:rPr>
      </w:pPr>
      <w:r>
        <w:rPr>
          <w:rFonts w:hint="eastAsia" w:cs="宋体"/>
          <w:sz w:val="24"/>
          <w:szCs w:val="24"/>
          <w:lang w:val="zh-CN"/>
        </w:rPr>
        <w:t>发包人、承包人根据《中华人民共和国建筑法》、《建设工程质量管理条例》和《房屋建筑工程质量保修办法》，经协商一致，对本工程签订工程质量保修书。</w:t>
      </w:r>
    </w:p>
    <w:p>
      <w:pPr>
        <w:spacing w:line="440" w:lineRule="exact"/>
        <w:ind w:firstLine="482" w:firstLineChars="200"/>
        <w:rPr>
          <w:rFonts w:cs="宋体"/>
          <w:b/>
          <w:bCs/>
          <w:sz w:val="24"/>
          <w:szCs w:val="24"/>
          <w:lang w:val="zh-CN"/>
        </w:rPr>
      </w:pPr>
      <w:r>
        <w:rPr>
          <w:rFonts w:hint="eastAsia" w:cs="宋体"/>
          <w:b/>
          <w:bCs/>
          <w:sz w:val="24"/>
          <w:szCs w:val="24"/>
          <w:lang w:val="zh-CN"/>
        </w:rPr>
        <w:t>一.工程质量保修范围和内容：</w:t>
      </w:r>
    </w:p>
    <w:p>
      <w:pPr>
        <w:spacing w:line="440" w:lineRule="exact"/>
        <w:ind w:firstLine="480" w:firstLineChars="200"/>
        <w:rPr>
          <w:rFonts w:cs="宋体"/>
          <w:sz w:val="24"/>
          <w:szCs w:val="24"/>
          <w:lang w:val="zh-CN"/>
        </w:rPr>
      </w:pPr>
      <w:r>
        <w:rPr>
          <w:rFonts w:hint="eastAsia" w:cs="宋体"/>
          <w:sz w:val="24"/>
          <w:szCs w:val="24"/>
          <w:lang w:val="zh-CN"/>
        </w:rPr>
        <w:t>承包人在质量保修期内，按照有关法律、法规、规章的管理规定和双方约定，承担本工程质量保修责任。</w:t>
      </w:r>
    </w:p>
    <w:p>
      <w:pPr>
        <w:spacing w:line="440" w:lineRule="exact"/>
        <w:ind w:firstLine="480" w:firstLineChars="200"/>
        <w:rPr>
          <w:rFonts w:cs="宋体"/>
          <w:sz w:val="24"/>
          <w:szCs w:val="24"/>
          <w:lang w:val="zh-CN"/>
        </w:rPr>
      </w:pPr>
      <w:r>
        <w:rPr>
          <w:rFonts w:hint="eastAsia" w:cs="宋体"/>
          <w:sz w:val="24"/>
          <w:szCs w:val="24"/>
          <w:lang w:val="zh-CN"/>
        </w:rPr>
        <w:t>质量保修范围包括所有联接件、紧固件必须联接可靠，不得松脱，活动联接必须转动灵活，无卡滞，以及双方约定的其他项目。具体保修的内容，双方约定如下：承包人施工内容图纸范围以内的全部施工内容。若施工合同中有其它保修约定的按约定执行 。</w:t>
      </w:r>
    </w:p>
    <w:p>
      <w:pPr>
        <w:spacing w:line="440" w:lineRule="exact"/>
        <w:ind w:firstLine="482" w:firstLineChars="200"/>
        <w:rPr>
          <w:rFonts w:cs="宋体"/>
          <w:b/>
          <w:bCs/>
          <w:sz w:val="24"/>
          <w:szCs w:val="24"/>
          <w:lang w:val="zh-CN"/>
        </w:rPr>
      </w:pPr>
      <w:r>
        <w:rPr>
          <w:rFonts w:hint="eastAsia" w:cs="宋体"/>
          <w:b/>
          <w:bCs/>
          <w:sz w:val="24"/>
          <w:szCs w:val="24"/>
          <w:lang w:val="zh-CN"/>
        </w:rPr>
        <w:t>二.质量保修期：</w:t>
      </w:r>
    </w:p>
    <w:p>
      <w:pPr>
        <w:spacing w:line="440" w:lineRule="exact"/>
        <w:ind w:firstLine="480" w:firstLineChars="200"/>
        <w:rPr>
          <w:rFonts w:cs="宋体"/>
          <w:sz w:val="24"/>
          <w:szCs w:val="24"/>
          <w:lang w:val="zh-CN"/>
        </w:rPr>
      </w:pPr>
      <w:r>
        <w:rPr>
          <w:rFonts w:hint="eastAsia" w:cs="宋体"/>
          <w:sz w:val="24"/>
          <w:szCs w:val="24"/>
          <w:lang w:val="zh-CN"/>
        </w:rPr>
        <w:t xml:space="preserve">质保期均自终验收签字生效之日起 </w:t>
      </w:r>
      <w:r>
        <w:rPr>
          <w:rFonts w:cs="宋体"/>
          <w:sz w:val="24"/>
          <w:szCs w:val="24"/>
        </w:rPr>
        <w:t>24</w:t>
      </w:r>
      <w:r>
        <w:rPr>
          <w:rFonts w:hint="eastAsia" w:cs="宋体"/>
          <w:sz w:val="24"/>
          <w:szCs w:val="24"/>
          <w:lang w:val="zh-CN"/>
        </w:rPr>
        <w:t>个月，质保金于终验收签字生效之日起</w:t>
      </w:r>
      <w:r>
        <w:rPr>
          <w:rFonts w:cs="宋体"/>
          <w:sz w:val="24"/>
          <w:szCs w:val="24"/>
        </w:rPr>
        <w:t>24</w:t>
      </w:r>
      <w:r>
        <w:rPr>
          <w:rFonts w:hint="eastAsia" w:cs="宋体"/>
          <w:sz w:val="24"/>
          <w:szCs w:val="24"/>
          <w:lang w:val="zh-CN"/>
        </w:rPr>
        <w:t>个月后支付。</w:t>
      </w:r>
    </w:p>
    <w:p>
      <w:pPr>
        <w:spacing w:line="440" w:lineRule="exact"/>
        <w:ind w:firstLine="482" w:firstLineChars="200"/>
        <w:rPr>
          <w:rFonts w:cs="宋体"/>
          <w:b/>
          <w:bCs/>
          <w:sz w:val="24"/>
          <w:szCs w:val="24"/>
          <w:lang w:val="zh-CN"/>
        </w:rPr>
      </w:pPr>
      <w:r>
        <w:rPr>
          <w:rFonts w:hint="eastAsia" w:cs="宋体"/>
          <w:b/>
          <w:bCs/>
          <w:sz w:val="24"/>
          <w:szCs w:val="24"/>
          <w:lang w:val="zh-CN"/>
        </w:rPr>
        <w:t>三.质量保修责任：</w:t>
      </w:r>
    </w:p>
    <w:p>
      <w:pPr>
        <w:spacing w:line="440" w:lineRule="exact"/>
        <w:ind w:firstLine="480" w:firstLineChars="200"/>
        <w:rPr>
          <w:rFonts w:cs="宋体"/>
          <w:sz w:val="24"/>
          <w:szCs w:val="24"/>
          <w:lang w:val="zh-CN"/>
        </w:rPr>
      </w:pPr>
      <w:r>
        <w:rPr>
          <w:rFonts w:hint="eastAsia" w:cs="宋体"/>
          <w:sz w:val="24"/>
          <w:szCs w:val="24"/>
          <w:lang w:val="zh-CN"/>
        </w:rPr>
        <w:t>属于保修范围和内容的项目（除人为损坏），承包人应在接到修理通知之日后24小时内派人修理。承包人不在约定期限内派人修理，发包人可委托其它人员修理，保修费用从质量保修金内扣除。</w:t>
      </w:r>
    </w:p>
    <w:p>
      <w:pPr>
        <w:spacing w:line="440" w:lineRule="exact"/>
        <w:ind w:firstLine="482" w:firstLineChars="200"/>
        <w:rPr>
          <w:rFonts w:cs="宋体"/>
          <w:b/>
          <w:bCs/>
          <w:sz w:val="24"/>
          <w:szCs w:val="24"/>
          <w:lang w:val="zh-CN"/>
        </w:rPr>
      </w:pPr>
      <w:r>
        <w:rPr>
          <w:rFonts w:hint="eastAsia" w:cs="宋体"/>
          <w:b/>
          <w:bCs/>
          <w:sz w:val="24"/>
          <w:szCs w:val="24"/>
          <w:lang w:val="zh-CN"/>
        </w:rPr>
        <w:t>四、质量保修金的支付：</w:t>
      </w:r>
    </w:p>
    <w:p>
      <w:pPr>
        <w:spacing w:line="440" w:lineRule="exact"/>
        <w:ind w:firstLine="480" w:firstLineChars="200"/>
        <w:rPr>
          <w:rFonts w:cs="宋体"/>
          <w:sz w:val="24"/>
          <w:szCs w:val="24"/>
          <w:lang w:val="zh-CN"/>
        </w:rPr>
      </w:pPr>
      <w:r>
        <w:rPr>
          <w:rFonts w:hint="eastAsia" w:cs="宋体"/>
          <w:sz w:val="24"/>
          <w:szCs w:val="24"/>
          <w:lang w:val="zh-CN"/>
        </w:rPr>
        <w:t>本项目双方约定承包人向发包人支付工程质量保修金金额为工程结算款的百分之十（大写）。质量保修金银行利率为</w:t>
      </w:r>
      <w:r>
        <w:rPr>
          <w:rFonts w:hint="eastAsia" w:cs="宋体"/>
          <w:b/>
          <w:bCs/>
          <w:sz w:val="24"/>
          <w:szCs w:val="24"/>
          <w:u w:val="single"/>
          <w:lang w:val="zh-CN"/>
        </w:rPr>
        <w:t xml:space="preserve">  无</w:t>
      </w:r>
      <w:r>
        <w:rPr>
          <w:rFonts w:hint="eastAsia" w:cs="宋体"/>
          <w:sz w:val="24"/>
          <w:szCs w:val="24"/>
          <w:lang w:val="zh-CN"/>
        </w:rPr>
        <w:t>。</w:t>
      </w:r>
    </w:p>
    <w:p>
      <w:pPr>
        <w:spacing w:line="440" w:lineRule="exact"/>
        <w:ind w:firstLine="482" w:firstLineChars="200"/>
        <w:rPr>
          <w:rFonts w:cs="宋体"/>
          <w:b/>
          <w:bCs/>
          <w:sz w:val="24"/>
          <w:szCs w:val="24"/>
          <w:lang w:val="zh-CN"/>
        </w:rPr>
      </w:pPr>
      <w:r>
        <w:rPr>
          <w:rFonts w:hint="eastAsia" w:cs="宋体"/>
          <w:b/>
          <w:bCs/>
          <w:sz w:val="24"/>
          <w:szCs w:val="24"/>
          <w:lang w:val="zh-CN"/>
        </w:rPr>
        <w:t>五、质量保修金的返还：</w:t>
      </w:r>
    </w:p>
    <w:p>
      <w:pPr>
        <w:spacing w:line="440" w:lineRule="exact"/>
        <w:ind w:firstLine="480" w:firstLineChars="200"/>
        <w:rPr>
          <w:rFonts w:cs="宋体"/>
          <w:sz w:val="24"/>
          <w:szCs w:val="24"/>
          <w:lang w:val="zh-CN"/>
        </w:rPr>
      </w:pPr>
      <w:r>
        <w:rPr>
          <w:rFonts w:hint="eastAsia" w:cs="宋体"/>
          <w:sz w:val="24"/>
          <w:szCs w:val="24"/>
          <w:lang w:val="zh-CN"/>
        </w:rPr>
        <w:t>自工程竣工验收合格之日起</w:t>
      </w:r>
      <w:r>
        <w:rPr>
          <w:rFonts w:cs="宋体"/>
          <w:b/>
          <w:bCs/>
          <w:sz w:val="24"/>
          <w:szCs w:val="24"/>
        </w:rPr>
        <w:t>2</w:t>
      </w:r>
      <w:r>
        <w:rPr>
          <w:rFonts w:hint="eastAsia" w:cs="宋体"/>
          <w:b/>
          <w:bCs/>
          <w:sz w:val="24"/>
          <w:szCs w:val="24"/>
        </w:rPr>
        <w:t>年</w:t>
      </w:r>
      <w:r>
        <w:rPr>
          <w:rFonts w:hint="eastAsia" w:cs="宋体"/>
          <w:sz w:val="24"/>
          <w:szCs w:val="24"/>
          <w:lang w:val="zh-CN"/>
        </w:rPr>
        <w:t>且无质量问题，无息返还质量保修金。因出现质量问题，质量保修期延长的，返还质量保修金的期限同时顺延。</w:t>
      </w:r>
    </w:p>
    <w:p>
      <w:pPr>
        <w:spacing w:line="440" w:lineRule="exact"/>
        <w:ind w:firstLine="482" w:firstLineChars="200"/>
        <w:rPr>
          <w:rFonts w:cs="宋体"/>
          <w:b/>
          <w:bCs/>
          <w:sz w:val="24"/>
          <w:szCs w:val="24"/>
          <w:lang w:val="zh-CN"/>
        </w:rPr>
      </w:pPr>
      <w:r>
        <w:rPr>
          <w:rFonts w:hint="eastAsia" w:cs="宋体"/>
          <w:b/>
          <w:bCs/>
          <w:sz w:val="24"/>
          <w:szCs w:val="24"/>
          <w:lang w:val="zh-CN"/>
        </w:rPr>
        <w:t>六、其它：</w:t>
      </w:r>
    </w:p>
    <w:p>
      <w:pPr>
        <w:spacing w:line="440" w:lineRule="exact"/>
        <w:ind w:firstLine="480" w:firstLineChars="200"/>
        <w:rPr>
          <w:rFonts w:cs="宋体"/>
          <w:sz w:val="24"/>
          <w:szCs w:val="24"/>
          <w:lang w:val="zh-CN"/>
        </w:rPr>
      </w:pPr>
      <w:r>
        <w:rPr>
          <w:rFonts w:hint="eastAsia" w:cs="宋体"/>
          <w:sz w:val="24"/>
          <w:szCs w:val="24"/>
          <w:lang w:val="zh-CN"/>
        </w:rPr>
        <w:t>1、本保修书作为施工工程合同的附件，与施工工程合同具有同等法律效力。</w:t>
      </w:r>
    </w:p>
    <w:p>
      <w:pPr>
        <w:spacing w:line="440" w:lineRule="exact"/>
        <w:ind w:firstLine="480" w:firstLineChars="200"/>
        <w:rPr>
          <w:rFonts w:cs="宋体"/>
          <w:sz w:val="24"/>
          <w:szCs w:val="24"/>
          <w:lang w:val="zh-CN"/>
        </w:rPr>
      </w:pPr>
      <w:r>
        <w:rPr>
          <w:rFonts w:hint="eastAsia" w:cs="宋体"/>
          <w:sz w:val="24"/>
          <w:szCs w:val="24"/>
          <w:lang w:val="zh-CN"/>
        </w:rPr>
        <w:t>2、双方约定的其它工程质量保修事项：</w:t>
      </w:r>
      <w:r>
        <w:rPr>
          <w:rFonts w:hint="eastAsia" w:cs="宋体"/>
          <w:sz w:val="24"/>
          <w:szCs w:val="24"/>
          <w:u w:val="single"/>
          <w:lang w:val="zh-CN"/>
        </w:rPr>
        <w:t xml:space="preserve">         </w:t>
      </w:r>
      <w:r>
        <w:rPr>
          <w:rFonts w:hint="eastAsia" w:cs="宋体"/>
          <w:sz w:val="24"/>
          <w:szCs w:val="24"/>
          <w:lang w:val="zh-CN"/>
        </w:rPr>
        <w:t>。</w:t>
      </w:r>
    </w:p>
    <w:bookmarkEnd w:id="152"/>
    <w:p>
      <w:pPr>
        <w:pStyle w:val="3"/>
        <w:sectPr>
          <w:footerReference r:id="rId9" w:type="default"/>
          <w:pgSz w:w="11907" w:h="16840"/>
          <w:pgMar w:top="1702" w:right="1418" w:bottom="1418" w:left="1418" w:header="851" w:footer="822" w:gutter="0"/>
          <w:cols w:space="720" w:num="1"/>
          <w:docGrid w:linePitch="290" w:charSpace="-3931"/>
        </w:sectPr>
      </w:pPr>
      <w:bookmarkStart w:id="376" w:name="_Toc49503561"/>
    </w:p>
    <w:p>
      <w:pPr>
        <w:spacing w:line="440" w:lineRule="exact"/>
        <w:ind w:firstLine="643" w:firstLineChars="200"/>
        <w:jc w:val="center"/>
        <w:rPr>
          <w:rFonts w:cs="宋体"/>
          <w:b/>
          <w:bCs/>
          <w:sz w:val="32"/>
          <w:szCs w:val="32"/>
          <w:lang w:val="zh-CN"/>
        </w:rPr>
      </w:pPr>
      <w:bookmarkStart w:id="377" w:name="_Toc49504908"/>
      <w:r>
        <w:rPr>
          <w:rFonts w:hint="eastAsia" w:cs="宋体"/>
          <w:b/>
          <w:bCs/>
          <w:sz w:val="32"/>
          <w:szCs w:val="32"/>
          <w:lang w:val="zh-CN"/>
        </w:rPr>
        <w:t>三   安全施工协议书</w:t>
      </w:r>
      <w:bookmarkEnd w:id="377"/>
    </w:p>
    <w:p>
      <w:pPr>
        <w:spacing w:line="440" w:lineRule="exact"/>
        <w:ind w:firstLine="480" w:firstLineChars="200"/>
        <w:rPr>
          <w:rFonts w:cs="宋体"/>
          <w:sz w:val="24"/>
          <w:szCs w:val="24"/>
          <w:lang w:val="zh-CN"/>
        </w:rPr>
      </w:pPr>
      <w:r>
        <w:rPr>
          <w:rFonts w:hint="eastAsia" w:cs="宋体"/>
          <w:sz w:val="24"/>
          <w:szCs w:val="24"/>
          <w:lang w:val="zh-CN"/>
        </w:rPr>
        <w:t>为使本项目所签署施工合同的实施过程中创造安全、高效的施工环境，切实搞好本项目的安全管理工作，本项目由发包人与承包人特此签订安全施工协议书：</w:t>
      </w:r>
    </w:p>
    <w:p>
      <w:pPr>
        <w:spacing w:line="440" w:lineRule="exact"/>
        <w:ind w:firstLine="482" w:firstLineChars="200"/>
        <w:rPr>
          <w:rFonts w:cs="宋体"/>
          <w:b/>
          <w:bCs/>
          <w:sz w:val="24"/>
          <w:szCs w:val="24"/>
          <w:lang w:val="zh-CN"/>
        </w:rPr>
      </w:pPr>
      <w:r>
        <w:rPr>
          <w:rFonts w:hint="eastAsia" w:cs="宋体"/>
          <w:b/>
          <w:bCs/>
          <w:sz w:val="24"/>
          <w:szCs w:val="24"/>
          <w:lang w:val="zh-CN"/>
        </w:rPr>
        <w:t>一、发包人职责</w:t>
      </w:r>
    </w:p>
    <w:p>
      <w:pPr>
        <w:spacing w:line="440" w:lineRule="exact"/>
        <w:ind w:firstLine="480" w:firstLineChars="200"/>
        <w:rPr>
          <w:rFonts w:cs="宋体"/>
          <w:sz w:val="24"/>
          <w:szCs w:val="24"/>
          <w:lang w:val="zh-CN"/>
        </w:rPr>
      </w:pPr>
      <w:r>
        <w:rPr>
          <w:rFonts w:hint="eastAsia" w:cs="宋体"/>
          <w:sz w:val="24"/>
          <w:szCs w:val="24"/>
          <w:lang w:val="zh-CN"/>
        </w:rPr>
        <w:t>1．严格遵守国家有关安全生产的法律法规，认真执行工程承包合同中有关安全要求。</w:t>
      </w:r>
    </w:p>
    <w:p>
      <w:pPr>
        <w:spacing w:line="440" w:lineRule="exact"/>
        <w:ind w:firstLine="480" w:firstLineChars="200"/>
        <w:rPr>
          <w:rFonts w:cs="宋体"/>
          <w:sz w:val="24"/>
          <w:szCs w:val="24"/>
          <w:lang w:val="zh-CN"/>
        </w:rPr>
      </w:pPr>
      <w:r>
        <w:rPr>
          <w:rFonts w:hint="eastAsia" w:cs="宋体"/>
          <w:sz w:val="24"/>
          <w:szCs w:val="24"/>
          <w:lang w:val="zh-CN"/>
        </w:rPr>
        <w:t>2．按照“安全第一、预防为主”和坚持“管生产必须管安全”的原则进行安全生产管理，做到生产与安全工作同时计划、布置、检查、总结和评比。</w:t>
      </w:r>
    </w:p>
    <w:p>
      <w:pPr>
        <w:spacing w:line="440" w:lineRule="exact"/>
        <w:ind w:firstLine="480" w:firstLineChars="200"/>
        <w:rPr>
          <w:rFonts w:cs="宋体"/>
          <w:sz w:val="24"/>
          <w:szCs w:val="24"/>
          <w:lang w:val="zh-CN"/>
        </w:rPr>
      </w:pPr>
      <w:r>
        <w:rPr>
          <w:rFonts w:hint="eastAsia" w:cs="宋体"/>
          <w:sz w:val="24"/>
          <w:szCs w:val="24"/>
          <w:lang w:val="zh-CN"/>
        </w:rPr>
        <w:t>3．重要的安全设施必须坚持与主体工程“三同时”的原则，即：同时设计、审批，同时施工，同时验收，投入使用。</w:t>
      </w:r>
    </w:p>
    <w:p>
      <w:pPr>
        <w:spacing w:line="440" w:lineRule="exact"/>
        <w:ind w:firstLine="480" w:firstLineChars="200"/>
        <w:rPr>
          <w:rFonts w:cs="宋体"/>
          <w:sz w:val="24"/>
          <w:szCs w:val="24"/>
          <w:lang w:val="zh-CN"/>
        </w:rPr>
      </w:pPr>
      <w:r>
        <w:rPr>
          <w:rFonts w:hint="eastAsia" w:cs="宋体"/>
          <w:sz w:val="24"/>
          <w:szCs w:val="24"/>
          <w:lang w:val="zh-CN"/>
        </w:rPr>
        <w:t>4．定期召开安全生产调度会，及时传达中央及地方有关安全生产的精神。</w:t>
      </w:r>
    </w:p>
    <w:p>
      <w:pPr>
        <w:spacing w:line="440" w:lineRule="exact"/>
        <w:ind w:firstLine="480" w:firstLineChars="200"/>
        <w:rPr>
          <w:rFonts w:cs="宋体"/>
          <w:sz w:val="24"/>
          <w:szCs w:val="24"/>
          <w:lang w:val="zh-CN"/>
        </w:rPr>
      </w:pPr>
      <w:r>
        <w:rPr>
          <w:rFonts w:hint="eastAsia" w:cs="宋体"/>
          <w:sz w:val="24"/>
          <w:szCs w:val="24"/>
          <w:lang w:val="zh-CN"/>
        </w:rPr>
        <w:t>5．组织对承包人施工现场安全生产检查，监督承包人及时处理发现的各种安全隐患。</w:t>
      </w:r>
    </w:p>
    <w:p>
      <w:pPr>
        <w:spacing w:line="440" w:lineRule="exact"/>
        <w:ind w:firstLine="482" w:firstLineChars="200"/>
        <w:rPr>
          <w:rFonts w:cs="宋体"/>
          <w:b/>
          <w:bCs/>
          <w:sz w:val="24"/>
          <w:szCs w:val="24"/>
          <w:lang w:val="zh-CN"/>
        </w:rPr>
      </w:pPr>
      <w:r>
        <w:rPr>
          <w:rFonts w:hint="eastAsia" w:cs="宋体"/>
          <w:b/>
          <w:bCs/>
          <w:sz w:val="24"/>
          <w:szCs w:val="24"/>
          <w:lang w:val="zh-CN"/>
        </w:rPr>
        <w:t>二、承包人职责</w:t>
      </w:r>
    </w:p>
    <w:p>
      <w:pPr>
        <w:spacing w:line="440" w:lineRule="exact"/>
        <w:ind w:firstLine="480" w:firstLineChars="200"/>
        <w:rPr>
          <w:rFonts w:cs="宋体"/>
          <w:sz w:val="24"/>
          <w:szCs w:val="24"/>
          <w:lang w:val="zh-CN"/>
        </w:rPr>
      </w:pPr>
      <w:r>
        <w:rPr>
          <w:rFonts w:hint="eastAsia" w:cs="宋体"/>
          <w:sz w:val="24"/>
          <w:szCs w:val="24"/>
          <w:lang w:val="zh-CN"/>
        </w:rPr>
        <w:t>1．严格遵守国家有关安全生产的法律法规及相关规定，认真执行工程承包合同中的有关安全要求。</w:t>
      </w:r>
    </w:p>
    <w:p>
      <w:pPr>
        <w:spacing w:line="440" w:lineRule="exact"/>
        <w:ind w:firstLine="480" w:firstLineChars="200"/>
        <w:rPr>
          <w:rFonts w:cs="宋体"/>
          <w:sz w:val="24"/>
          <w:szCs w:val="24"/>
          <w:lang w:val="zh-CN"/>
        </w:rPr>
      </w:pPr>
      <w:r>
        <w:rPr>
          <w:rFonts w:hint="eastAsia" w:cs="宋体"/>
          <w:sz w:val="24"/>
          <w:szCs w:val="24"/>
          <w:lang w:val="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440" w:lineRule="exact"/>
        <w:ind w:firstLine="480" w:firstLineChars="200"/>
        <w:rPr>
          <w:rFonts w:cs="宋体"/>
          <w:sz w:val="24"/>
          <w:szCs w:val="24"/>
          <w:lang w:val="zh-CN"/>
        </w:rPr>
      </w:pPr>
      <w:r>
        <w:rPr>
          <w:rFonts w:hint="eastAsia" w:cs="宋体"/>
          <w:sz w:val="24"/>
          <w:szCs w:val="24"/>
          <w:lang w:val="zh-CN"/>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440" w:lineRule="exact"/>
        <w:ind w:firstLine="480" w:firstLineChars="200"/>
        <w:rPr>
          <w:rFonts w:cs="宋体"/>
          <w:sz w:val="24"/>
          <w:szCs w:val="24"/>
          <w:lang w:val="zh-CN"/>
        </w:rPr>
      </w:pPr>
      <w:r>
        <w:rPr>
          <w:rFonts w:hint="eastAsia" w:cs="宋体"/>
          <w:sz w:val="24"/>
          <w:szCs w:val="24"/>
          <w:lang w:val="zh-CN"/>
        </w:rPr>
        <w:t>4．承包人在任何时候都应采取各种合理的预防措施，防止其员工发生任何违法、违禁、暴力或妨碍治安的行为。</w:t>
      </w:r>
    </w:p>
    <w:p>
      <w:pPr>
        <w:spacing w:line="440" w:lineRule="exact"/>
        <w:ind w:firstLine="480" w:firstLineChars="200"/>
        <w:rPr>
          <w:rFonts w:cs="宋体"/>
          <w:sz w:val="24"/>
          <w:szCs w:val="24"/>
          <w:lang w:val="zh-CN"/>
        </w:rPr>
      </w:pPr>
      <w:r>
        <w:rPr>
          <w:rFonts w:hint="eastAsia" w:cs="宋体"/>
          <w:sz w:val="24"/>
          <w:szCs w:val="24"/>
          <w:lang w:val="zh-CN"/>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440" w:lineRule="exact"/>
        <w:ind w:firstLine="480" w:firstLineChars="200"/>
        <w:rPr>
          <w:rFonts w:cs="宋体"/>
          <w:sz w:val="24"/>
          <w:szCs w:val="24"/>
          <w:lang w:val="zh-CN"/>
        </w:rPr>
      </w:pPr>
      <w:r>
        <w:rPr>
          <w:rFonts w:hint="eastAsia" w:cs="宋体"/>
          <w:sz w:val="24"/>
          <w:szCs w:val="24"/>
          <w:lang w:val="zh-CN"/>
        </w:rPr>
        <w:t>6.对于易燃易爆的材料除应专门划定专区妥善保管之外，使用人员按规定使用操作，并应配备有足够的消防设施，所有施工人员都应熟悉消防设备的性能和使用方法；承包人不得以任何方式将任何种类的爆炸物提供给任何其他人。</w:t>
      </w:r>
    </w:p>
    <w:p>
      <w:pPr>
        <w:spacing w:line="440" w:lineRule="exact"/>
        <w:ind w:firstLine="480" w:firstLineChars="200"/>
        <w:rPr>
          <w:rFonts w:cs="宋体"/>
          <w:sz w:val="24"/>
          <w:szCs w:val="24"/>
          <w:lang w:val="zh-CN"/>
        </w:rPr>
      </w:pPr>
      <w:r>
        <w:rPr>
          <w:rFonts w:hint="eastAsia" w:cs="宋体"/>
          <w:sz w:val="24"/>
          <w:szCs w:val="24"/>
          <w:lang w:val="zh-CN"/>
        </w:rPr>
        <w:t>7.操作人员上岗，必须按规定穿戴防护用品。施工负责人和安全检查员应随时检查劳动防护用品的穿戴情况，不按规定穿戴防护用品的人员不得上岗。</w:t>
      </w:r>
    </w:p>
    <w:p>
      <w:pPr>
        <w:spacing w:line="440" w:lineRule="exact"/>
        <w:ind w:firstLine="480" w:firstLineChars="200"/>
        <w:rPr>
          <w:rFonts w:cs="宋体"/>
          <w:sz w:val="24"/>
          <w:szCs w:val="24"/>
          <w:lang w:val="zh-CN"/>
        </w:rPr>
      </w:pPr>
      <w:r>
        <w:rPr>
          <w:rFonts w:hint="eastAsia" w:cs="宋体"/>
          <w:sz w:val="24"/>
          <w:szCs w:val="24"/>
          <w:lang w:val="zh-CN"/>
        </w:rPr>
        <w:t>8.所有施工机具设备和高空作业的设备（需质量监督部门检查检验的需有对应的在规定期限的检验合格证）均应定期检查，并有安全员的签字记录，保证其经常处于完好状态；不合格的机具、设备和劳动保护用品严禁使用。</w:t>
      </w:r>
    </w:p>
    <w:p>
      <w:pPr>
        <w:spacing w:line="440" w:lineRule="exact"/>
        <w:ind w:firstLine="480" w:firstLineChars="200"/>
        <w:rPr>
          <w:rFonts w:cs="宋体"/>
          <w:sz w:val="24"/>
          <w:szCs w:val="24"/>
          <w:lang w:val="zh-CN"/>
        </w:rPr>
      </w:pPr>
      <w:r>
        <w:rPr>
          <w:rFonts w:hint="eastAsia" w:cs="宋体"/>
          <w:sz w:val="24"/>
          <w:szCs w:val="24"/>
          <w:lang w:val="zh-CN"/>
        </w:rPr>
        <w:t>9.施工中采用新技术、新工艺、新设备、新材料时，必须制定相应的安全技术措施，施工现场必须具有相关的安全标志牌。</w:t>
      </w:r>
    </w:p>
    <w:p>
      <w:pPr>
        <w:spacing w:line="440" w:lineRule="exact"/>
        <w:ind w:firstLine="480" w:firstLineChars="200"/>
        <w:rPr>
          <w:rFonts w:cs="宋体"/>
          <w:sz w:val="24"/>
          <w:szCs w:val="24"/>
          <w:lang w:val="zh-CN"/>
        </w:rPr>
      </w:pPr>
      <w:r>
        <w:rPr>
          <w:rFonts w:hint="eastAsia" w:cs="宋体"/>
          <w:sz w:val="24"/>
          <w:szCs w:val="24"/>
          <w:lang w:val="zh-CN"/>
        </w:rPr>
        <w:t>10.承包人必须按照本工程项目特点，组织制定本工程实施中的生产安全事故应急救援预案；如果发生安全事故，应按照《国务院关于特大安全事故行政责任追究的规定》以及其它有关规定，及时上报有关部门，坚持“四不放过”的原则，严肃处理相关责任人。</w:t>
      </w:r>
    </w:p>
    <w:p>
      <w:pPr>
        <w:spacing w:line="440" w:lineRule="exact"/>
        <w:ind w:firstLine="482" w:firstLineChars="200"/>
        <w:rPr>
          <w:rFonts w:cs="宋体"/>
          <w:b/>
          <w:bCs/>
          <w:sz w:val="24"/>
          <w:szCs w:val="24"/>
          <w:lang w:val="zh-CN"/>
        </w:rPr>
      </w:pPr>
      <w:r>
        <w:rPr>
          <w:rFonts w:hint="eastAsia" w:cs="宋体"/>
          <w:b/>
          <w:bCs/>
          <w:sz w:val="24"/>
          <w:szCs w:val="24"/>
          <w:lang w:val="zh-CN"/>
        </w:rPr>
        <w:t>三、责任承担及事故处理</w:t>
      </w:r>
    </w:p>
    <w:p>
      <w:pPr>
        <w:spacing w:line="440" w:lineRule="exact"/>
        <w:ind w:firstLine="480" w:firstLineChars="200"/>
        <w:rPr>
          <w:rFonts w:cs="宋体"/>
          <w:sz w:val="24"/>
          <w:szCs w:val="24"/>
          <w:lang w:val="zh-CN"/>
        </w:rPr>
      </w:pPr>
      <w:r>
        <w:rPr>
          <w:rFonts w:hint="eastAsia" w:cs="宋体"/>
          <w:sz w:val="24"/>
          <w:szCs w:val="24"/>
          <w:lang w:val="zh-CN"/>
        </w:rPr>
        <w:t>1、承包人负责整个工程进场到施工竣工验收通过期间的施工现场的一切安全（包括施工前准备工作、施工过程、各分包单位的施工安全、施工现场全部人员的安全及现场保卫的一切安全责任）,若发生安全事故，一切责任由承包人承担。</w:t>
      </w:r>
    </w:p>
    <w:p>
      <w:pPr>
        <w:spacing w:line="440" w:lineRule="exact"/>
        <w:ind w:firstLine="480" w:firstLineChars="200"/>
        <w:rPr>
          <w:rFonts w:cs="宋体"/>
          <w:sz w:val="24"/>
          <w:szCs w:val="24"/>
          <w:lang w:val="zh-CN"/>
        </w:rPr>
      </w:pPr>
      <w:r>
        <w:rPr>
          <w:rFonts w:hint="eastAsia" w:cs="宋体"/>
          <w:sz w:val="24"/>
          <w:szCs w:val="24"/>
          <w:lang w:val="zh-CN"/>
        </w:rPr>
        <w:t>2、因发包人违反安全管理的规定要求承包人进行施工，导致的安全事故，由发包人承担相应责任及发生的费用。</w:t>
      </w:r>
    </w:p>
    <w:p>
      <w:pPr>
        <w:spacing w:line="440" w:lineRule="exact"/>
        <w:ind w:firstLine="480" w:firstLineChars="200"/>
        <w:rPr>
          <w:rFonts w:cs="宋体"/>
          <w:sz w:val="24"/>
          <w:szCs w:val="24"/>
          <w:lang w:val="zh-CN"/>
        </w:rPr>
      </w:pPr>
      <w:r>
        <w:rPr>
          <w:rFonts w:hint="eastAsia" w:cs="宋体"/>
          <w:sz w:val="24"/>
          <w:szCs w:val="24"/>
          <w:lang w:val="zh-CN"/>
        </w:rPr>
        <w:t>3、发生重大伤亡及其他安全事故，承包人应按有关规定立即上报有关部门并通知工程师，同时按政府有关部门要求处理。</w:t>
      </w:r>
    </w:p>
    <w:p>
      <w:pPr>
        <w:spacing w:line="440" w:lineRule="exact"/>
        <w:ind w:firstLine="480" w:firstLineChars="200"/>
        <w:rPr>
          <w:rFonts w:cs="宋体"/>
          <w:sz w:val="24"/>
          <w:szCs w:val="24"/>
          <w:lang w:val="zh-CN"/>
        </w:rPr>
      </w:pPr>
      <w:r>
        <w:rPr>
          <w:rFonts w:hint="eastAsia" w:cs="宋体"/>
          <w:sz w:val="24"/>
          <w:szCs w:val="24"/>
          <w:lang w:val="zh-CN"/>
        </w:rPr>
        <w:t>4、发包人承包人对事故责任有争议时，应按政府有关部门的认定处理。</w:t>
      </w:r>
    </w:p>
    <w:p>
      <w:pPr>
        <w:spacing w:line="440" w:lineRule="exact"/>
        <w:ind w:firstLine="482" w:firstLineChars="200"/>
        <w:rPr>
          <w:rFonts w:cs="宋体"/>
          <w:b/>
          <w:bCs/>
          <w:sz w:val="24"/>
          <w:szCs w:val="24"/>
          <w:lang w:val="zh-CN"/>
        </w:rPr>
      </w:pPr>
      <w:r>
        <w:rPr>
          <w:rFonts w:hint="eastAsia" w:cs="宋体"/>
          <w:b/>
          <w:bCs/>
          <w:sz w:val="24"/>
          <w:szCs w:val="24"/>
          <w:lang w:val="zh-CN"/>
        </w:rPr>
        <w:t>四、其他约定</w:t>
      </w:r>
    </w:p>
    <w:p>
      <w:pPr>
        <w:spacing w:line="440" w:lineRule="exact"/>
        <w:ind w:firstLine="480" w:firstLineChars="200"/>
        <w:rPr>
          <w:rFonts w:cs="宋体"/>
          <w:sz w:val="24"/>
          <w:szCs w:val="24"/>
          <w:lang w:val="zh-CN"/>
        </w:rPr>
      </w:pPr>
      <w:r>
        <w:rPr>
          <w:rFonts w:hint="eastAsia" w:cs="宋体"/>
          <w:sz w:val="24"/>
          <w:szCs w:val="24"/>
          <w:lang w:val="zh-CN"/>
        </w:rPr>
        <w:t>1、承包人在动力设备、输电线路、地下管道、密封防震车间、易燃易爆地段以及临街交通要道附近施工及实施爆破作业，在放射、毒害性环境中施工（含储存、运输、使用）及使用毒害性、腐蚀性物品施工时承包人所需的安全防护措施费用已包含在合同价款中。</w:t>
      </w:r>
    </w:p>
    <w:p>
      <w:pPr>
        <w:spacing w:line="440" w:lineRule="exact"/>
        <w:ind w:firstLine="480" w:firstLineChars="200"/>
        <w:rPr>
          <w:rFonts w:cs="宋体"/>
          <w:sz w:val="24"/>
          <w:szCs w:val="24"/>
          <w:lang w:val="zh-CN"/>
        </w:rPr>
      </w:pPr>
      <w:r>
        <w:rPr>
          <w:rFonts w:hint="eastAsia" w:cs="宋体"/>
          <w:sz w:val="24"/>
          <w:szCs w:val="24"/>
          <w:lang w:val="zh-CN"/>
        </w:rPr>
        <w:t>2、工程实行分包的，承包人对分包人的施工安全负总责，承包人与分包人就分包工程对发包人承担连带责任。</w:t>
      </w:r>
    </w:p>
    <w:p>
      <w:pPr>
        <w:spacing w:line="440" w:lineRule="exact"/>
        <w:ind w:firstLine="480" w:firstLineChars="200"/>
        <w:rPr>
          <w:rFonts w:cs="宋体"/>
          <w:sz w:val="24"/>
          <w:szCs w:val="24"/>
          <w:lang w:val="zh-CN"/>
        </w:rPr>
        <w:sectPr>
          <w:pgSz w:w="11907" w:h="16840"/>
          <w:pgMar w:top="1702" w:right="1418" w:bottom="1418" w:left="1418" w:header="851" w:footer="822" w:gutter="0"/>
          <w:cols w:space="720" w:num="1"/>
          <w:docGrid w:linePitch="290" w:charSpace="-3931"/>
        </w:sectPr>
      </w:pPr>
      <w:bookmarkStart w:id="378" w:name="_Toc78960853"/>
      <w:r>
        <w:rPr>
          <w:rFonts w:hint="eastAsia" w:cs="宋体"/>
          <w:sz w:val="24"/>
          <w:szCs w:val="24"/>
          <w:lang w:val="zh-CN"/>
        </w:rPr>
        <w:t>3、本协议作为施工工程合同的附件，与施工工程合同具有同等法律效力。</w:t>
      </w:r>
      <w:bookmarkEnd w:id="378"/>
    </w:p>
    <w:p>
      <w:pPr>
        <w:pStyle w:val="3"/>
        <w:numPr>
          <w:ilvl w:val="0"/>
          <w:numId w:val="0"/>
        </w:numPr>
      </w:pPr>
      <w:bookmarkStart w:id="379" w:name="_Toc51786900"/>
      <w:bookmarkStart w:id="380" w:name="_Toc26919"/>
      <w:bookmarkStart w:id="381" w:name="_Toc13645"/>
      <w:bookmarkStart w:id="382" w:name="_Toc29666"/>
      <w:bookmarkStart w:id="383" w:name="_Toc1798"/>
      <w:r>
        <w:rPr>
          <w:rFonts w:hint="eastAsia"/>
        </w:rPr>
        <w:t>第五章</w:t>
      </w:r>
      <w:r>
        <w:t xml:space="preserve">  </w:t>
      </w:r>
      <w:r>
        <w:rPr>
          <w:rFonts w:hint="eastAsia"/>
        </w:rPr>
        <w:t>投标文件格式</w:t>
      </w:r>
      <w:bookmarkEnd w:id="376"/>
      <w:bookmarkEnd w:id="379"/>
      <w:bookmarkEnd w:id="380"/>
      <w:bookmarkEnd w:id="381"/>
      <w:bookmarkEnd w:id="382"/>
      <w:bookmarkEnd w:id="383"/>
    </w:p>
    <w:p>
      <w:pPr>
        <w:pStyle w:val="64"/>
        <w:ind w:right="210"/>
        <w:rPr>
          <w:smallCaps w:val="0"/>
        </w:rPr>
      </w:pPr>
      <w:r>
        <w:rPr>
          <w:rFonts w:hint="eastAsia"/>
          <w:smallCaps w:val="0"/>
        </w:rPr>
        <w:t>说明：</w:t>
      </w:r>
    </w:p>
    <w:p>
      <w:pPr>
        <w:spacing w:line="560" w:lineRule="exact"/>
        <w:ind w:firstLine="480" w:firstLineChars="200"/>
        <w:rPr>
          <w:sz w:val="24"/>
        </w:rPr>
      </w:pPr>
      <w:r>
        <w:rPr>
          <w:rFonts w:hint="eastAsia"/>
          <w:sz w:val="24"/>
        </w:rPr>
        <w:t>1、投标人须认真填写和提交本部分中的附件文件；</w:t>
      </w:r>
    </w:p>
    <w:p>
      <w:pPr>
        <w:spacing w:line="560" w:lineRule="exact"/>
        <w:ind w:firstLine="480" w:firstLineChars="200"/>
        <w:rPr>
          <w:sz w:val="24"/>
        </w:rPr>
      </w:pPr>
      <w:r>
        <w:rPr>
          <w:rFonts w:hint="eastAsia"/>
          <w:sz w:val="24"/>
        </w:rPr>
        <w:t>2、对附件文件中所要求的内容应给予明确的答复；</w:t>
      </w:r>
    </w:p>
    <w:p>
      <w:pPr>
        <w:spacing w:line="560" w:lineRule="exact"/>
        <w:ind w:firstLine="480" w:firstLineChars="200"/>
        <w:rPr>
          <w:sz w:val="24"/>
        </w:rPr>
      </w:pPr>
      <w:r>
        <w:rPr>
          <w:rFonts w:hint="eastAsia"/>
          <w:sz w:val="24"/>
        </w:rPr>
        <w:t>3、附件文件的签字人应保证其对一切问题的答复、所做的声明及出具的资格资质文件、资料等具有真实性和准确性；</w:t>
      </w:r>
    </w:p>
    <w:p>
      <w:pPr>
        <w:spacing w:line="560" w:lineRule="exact"/>
        <w:ind w:firstLine="480" w:firstLineChars="200"/>
        <w:rPr>
          <w:sz w:val="24"/>
        </w:rPr>
      </w:pPr>
      <w:r>
        <w:rPr>
          <w:rFonts w:hint="eastAsia"/>
          <w:sz w:val="24"/>
        </w:rPr>
        <w:t>4、招标人将对投标人提交的文件、资料等内容予以保密，但不退还；</w:t>
      </w:r>
    </w:p>
    <w:p>
      <w:pPr>
        <w:spacing w:line="560" w:lineRule="exact"/>
        <w:ind w:firstLine="480" w:firstLineChars="200"/>
        <w:rPr>
          <w:sz w:val="24"/>
        </w:rPr>
      </w:pPr>
      <w:r>
        <w:rPr>
          <w:rFonts w:hint="eastAsia"/>
          <w:sz w:val="24"/>
        </w:rPr>
        <w:t>5、所有附件文件应以中文书写，作为投标文件的组成部分。</w:t>
      </w:r>
    </w:p>
    <w:p/>
    <w:p/>
    <w:p/>
    <w:p>
      <w:pPr>
        <w:pStyle w:val="5"/>
        <w:spacing w:before="120" w:after="120" w:line="560" w:lineRule="exact"/>
        <w:rPr>
          <w:rFonts w:cs="宋体"/>
          <w:b w:val="0"/>
          <w:bCs w:val="0"/>
          <w:sz w:val="24"/>
          <w:szCs w:val="24"/>
        </w:rPr>
        <w:sectPr>
          <w:pgSz w:w="11907" w:h="16840"/>
          <w:pgMar w:top="1702" w:right="1418" w:bottom="1418" w:left="1418" w:header="851" w:footer="822" w:gutter="0"/>
          <w:cols w:space="720" w:num="1"/>
          <w:docGrid w:linePitch="290" w:charSpace="-3931"/>
        </w:sectPr>
      </w:pPr>
    </w:p>
    <w:p>
      <w:pPr>
        <w:pStyle w:val="5"/>
        <w:numPr>
          <w:ilvl w:val="0"/>
          <w:numId w:val="0"/>
        </w:numPr>
        <w:spacing w:before="120" w:after="120" w:line="560" w:lineRule="exact"/>
        <w:rPr>
          <w:rFonts w:cs="宋体"/>
          <w:bCs w:val="0"/>
          <w:sz w:val="24"/>
          <w:szCs w:val="24"/>
        </w:rPr>
      </w:pPr>
      <w:bookmarkStart w:id="384" w:name="_Toc49503562"/>
      <w:bookmarkStart w:id="385" w:name="_Toc51786901"/>
      <w:bookmarkStart w:id="386" w:name="_Toc31452"/>
      <w:bookmarkStart w:id="387" w:name="_Toc23979"/>
      <w:bookmarkStart w:id="388" w:name="_Toc453709582"/>
      <w:r>
        <w:rPr>
          <w:rFonts w:hint="eastAsia" w:cs="宋体"/>
          <w:bCs w:val="0"/>
          <w:sz w:val="24"/>
          <w:szCs w:val="24"/>
        </w:rPr>
        <w:t>附件一：投标函</w:t>
      </w:r>
      <w:bookmarkEnd w:id="384"/>
      <w:bookmarkEnd w:id="385"/>
      <w:bookmarkEnd w:id="386"/>
      <w:bookmarkEnd w:id="387"/>
    </w:p>
    <w:p>
      <w:pPr>
        <w:jc w:val="center"/>
        <w:rPr>
          <w:b/>
          <w:bCs/>
          <w:sz w:val="36"/>
          <w:szCs w:val="36"/>
        </w:rPr>
      </w:pPr>
      <w:r>
        <w:rPr>
          <w:rFonts w:hint="eastAsia"/>
          <w:b/>
          <w:bCs/>
          <w:sz w:val="36"/>
          <w:szCs w:val="36"/>
        </w:rPr>
        <w:t>投标函</w:t>
      </w:r>
    </w:p>
    <w:p>
      <w:pPr>
        <w:pStyle w:val="46"/>
        <w:adjustRightInd w:val="0"/>
        <w:snapToGrid w:val="0"/>
        <w:spacing w:before="72" w:beforeLines="30" w:line="460" w:lineRule="exact"/>
        <w:ind w:left="0" w:leftChars="0"/>
        <w:rPr>
          <w:rFonts w:ascii="Times New Roman" w:hAnsi="Times New Roman"/>
          <w:i/>
          <w:iCs/>
          <w:sz w:val="24"/>
        </w:rPr>
      </w:pPr>
      <w:r>
        <w:rPr>
          <w:rFonts w:hint="eastAsia" w:ascii="Times New Roman" w:hAnsi="Times New Roman"/>
          <w:sz w:val="24"/>
          <w:u w:val="single"/>
        </w:rPr>
        <w:t xml:space="preserve">        公司</w:t>
      </w:r>
      <w:r>
        <w:rPr>
          <w:rFonts w:hint="eastAsia" w:ascii="Times New Roman" w:hAnsi="Times New Roman"/>
          <w:i/>
          <w:iCs/>
          <w:sz w:val="24"/>
        </w:rPr>
        <w:t>（招标人全称）：</w:t>
      </w:r>
    </w:p>
    <w:p>
      <w:pPr>
        <w:spacing w:before="30" w:line="460" w:lineRule="exact"/>
        <w:ind w:firstLine="480" w:firstLineChars="200"/>
        <w:rPr>
          <w:sz w:val="24"/>
        </w:rPr>
      </w:pPr>
      <w:r>
        <w:rPr>
          <w:rFonts w:hint="eastAsia"/>
          <w:sz w:val="24"/>
        </w:rPr>
        <w:t>按照《中华人民共和国招标投标法》等有关法律规定，我们根据编号为</w:t>
      </w:r>
      <w:r>
        <w:rPr>
          <w:rFonts w:hint="eastAsia"/>
          <w:sz w:val="24"/>
          <w:u w:val="single"/>
        </w:rPr>
        <w:t xml:space="preserve">      </w:t>
      </w:r>
      <w:r>
        <w:rPr>
          <w:rFonts w:hint="eastAsia"/>
          <w:sz w:val="24"/>
        </w:rPr>
        <w:t>招标文件的要求，对</w:t>
      </w:r>
      <w:r>
        <w:rPr>
          <w:rFonts w:hint="eastAsia"/>
          <w:sz w:val="24"/>
          <w:u w:val="single"/>
        </w:rPr>
        <w:t xml:space="preserve">                 （</w:t>
      </w:r>
      <w:r>
        <w:rPr>
          <w:rFonts w:hint="eastAsia"/>
          <w:sz w:val="24"/>
        </w:rPr>
        <w:t>项目名称）</w:t>
      </w:r>
      <w:r>
        <w:rPr>
          <w:rFonts w:hint="eastAsia"/>
          <w:sz w:val="24"/>
          <w:u w:val="single"/>
        </w:rPr>
        <w:t xml:space="preserve">               </w:t>
      </w:r>
      <w:r>
        <w:rPr>
          <w:rFonts w:hint="eastAsia"/>
          <w:sz w:val="24"/>
        </w:rPr>
        <w:t>（设备名称）进行投标。由投标人</w:t>
      </w:r>
      <w:r>
        <w:rPr>
          <w:rFonts w:hint="eastAsia"/>
          <w:u w:val="single"/>
        </w:rPr>
        <w:t xml:space="preserve">                  </w:t>
      </w:r>
      <w:r>
        <w:rPr>
          <w:rFonts w:hint="eastAsia"/>
          <w:sz w:val="24"/>
        </w:rPr>
        <w:t>（全称）正式委托全权代表</w:t>
      </w:r>
      <w:r>
        <w:rPr>
          <w:rFonts w:hint="eastAsia"/>
          <w:u w:val="single"/>
        </w:rPr>
        <w:t xml:space="preserve">               </w:t>
      </w:r>
      <w:r>
        <w:rPr>
          <w:rFonts w:hint="eastAsia"/>
          <w:sz w:val="24"/>
        </w:rPr>
        <w:t>（姓名、职务）提交投标文件正本一份，副本贰份，并保证所提供的全部资料的真实性、准确性。</w:t>
      </w:r>
    </w:p>
    <w:p>
      <w:pPr>
        <w:tabs>
          <w:tab w:val="left" w:pos="105"/>
        </w:tabs>
        <w:adjustRightInd w:val="0"/>
        <w:snapToGrid w:val="0"/>
        <w:spacing w:before="72" w:beforeLines="30" w:line="460" w:lineRule="exact"/>
        <w:ind w:firstLine="480" w:firstLineChars="200"/>
        <w:rPr>
          <w:bCs/>
          <w:sz w:val="24"/>
        </w:rPr>
      </w:pPr>
      <w:r>
        <w:rPr>
          <w:rFonts w:hint="eastAsia"/>
          <w:bCs/>
          <w:sz w:val="24"/>
        </w:rPr>
        <w:t>（1）</w:t>
      </w:r>
      <w:r>
        <w:rPr>
          <w:rFonts w:hint="eastAsia"/>
          <w:sz w:val="24"/>
        </w:rPr>
        <w:t>如果我方的投标文件被接受，我方将履行招标文件中规定的每一项要求，并按我方投标文件中的承诺按期、保质、保量提供货物。</w:t>
      </w:r>
    </w:p>
    <w:p>
      <w:pPr>
        <w:tabs>
          <w:tab w:val="left" w:pos="105"/>
        </w:tabs>
        <w:adjustRightInd w:val="0"/>
        <w:snapToGrid w:val="0"/>
        <w:spacing w:before="72" w:beforeLines="30" w:line="460" w:lineRule="exact"/>
        <w:ind w:firstLine="480" w:firstLineChars="200"/>
        <w:rPr>
          <w:bCs/>
          <w:sz w:val="24"/>
        </w:rPr>
      </w:pPr>
      <w:r>
        <w:rPr>
          <w:rFonts w:hint="eastAsia"/>
          <w:bCs/>
          <w:sz w:val="24"/>
        </w:rPr>
        <w:t>（2）</w:t>
      </w:r>
      <w:r>
        <w:rPr>
          <w:rFonts w:hint="eastAsia"/>
          <w:sz w:val="24"/>
        </w:rPr>
        <w:t>我方理解，最低报价不是中标的唯一条件，你们有选择中标人的权利。</w:t>
      </w:r>
    </w:p>
    <w:p>
      <w:pPr>
        <w:adjustRightInd w:val="0"/>
        <w:snapToGrid w:val="0"/>
        <w:spacing w:before="72" w:beforeLines="30" w:line="460" w:lineRule="exact"/>
        <w:ind w:firstLine="480" w:firstLineChars="200"/>
        <w:rPr>
          <w:sz w:val="24"/>
        </w:rPr>
      </w:pPr>
      <w:r>
        <w:rPr>
          <w:rFonts w:hint="eastAsia"/>
          <w:sz w:val="24"/>
        </w:rPr>
        <w:t>（3）我方已详细检查所有招标文件、附件以及所提供的参考文件等，因模糊和误解产生的一切后果，由我方自负。</w:t>
      </w:r>
    </w:p>
    <w:p>
      <w:pPr>
        <w:adjustRightInd w:val="0"/>
        <w:snapToGrid w:val="0"/>
        <w:spacing w:before="72" w:beforeLines="30" w:line="460" w:lineRule="exact"/>
        <w:ind w:firstLine="480" w:firstLineChars="200"/>
        <w:rPr>
          <w:sz w:val="24"/>
        </w:rPr>
      </w:pPr>
      <w:r>
        <w:rPr>
          <w:rFonts w:hint="eastAsia"/>
          <w:sz w:val="24"/>
        </w:rPr>
        <w:t>（4）投标文件在公开报价后90天内有效。如果我方在规定公开报价后的有效期内撤回递交投标文件，将被没收投标保证金。</w:t>
      </w:r>
    </w:p>
    <w:p>
      <w:pPr>
        <w:adjustRightInd w:val="0"/>
        <w:snapToGrid w:val="0"/>
        <w:spacing w:before="72" w:beforeLines="30" w:line="460" w:lineRule="exact"/>
        <w:ind w:firstLine="480" w:firstLineChars="200"/>
        <w:rPr>
          <w:sz w:val="24"/>
        </w:rPr>
      </w:pPr>
      <w:r>
        <w:rPr>
          <w:rFonts w:hint="eastAsia"/>
          <w:sz w:val="24"/>
        </w:rPr>
        <w:t>（5）我方同意招标人的要求，提供与递交投标文件有关的其他数据和资料。</w:t>
      </w:r>
    </w:p>
    <w:p>
      <w:pPr>
        <w:adjustRightInd w:val="0"/>
        <w:snapToGrid w:val="0"/>
        <w:spacing w:before="72" w:beforeLines="30" w:line="460" w:lineRule="exact"/>
        <w:ind w:firstLine="480" w:firstLineChars="200"/>
        <w:rPr>
          <w:sz w:val="24"/>
        </w:rPr>
      </w:pPr>
      <w:r>
        <w:rPr>
          <w:rFonts w:hint="eastAsia"/>
          <w:bCs/>
          <w:sz w:val="24"/>
        </w:rPr>
        <w:t>（6）我方愿按《中华人民共和国合同法》履行自己的全部责任。</w:t>
      </w:r>
    </w:p>
    <w:p>
      <w:pPr>
        <w:adjustRightInd w:val="0"/>
        <w:snapToGrid w:val="0"/>
        <w:spacing w:before="72" w:beforeLines="30" w:line="460" w:lineRule="exact"/>
        <w:ind w:firstLine="480" w:firstLineChars="200"/>
        <w:rPr>
          <w:sz w:val="24"/>
        </w:rPr>
      </w:pPr>
      <w:r>
        <w:rPr>
          <w:rFonts w:hint="eastAsia"/>
          <w:sz w:val="24"/>
        </w:rPr>
        <w:t>（7）我方若未</w:t>
      </w:r>
      <w:r>
        <w:rPr>
          <w:rFonts w:hint="eastAsia"/>
          <w:bCs/>
          <w:sz w:val="24"/>
        </w:rPr>
        <w:t>成为中标人</w:t>
      </w:r>
      <w:r>
        <w:rPr>
          <w:rFonts w:hint="eastAsia"/>
          <w:sz w:val="24"/>
        </w:rPr>
        <w:t>，招标人有权不做任何解释。</w:t>
      </w:r>
    </w:p>
    <w:p>
      <w:pPr>
        <w:adjustRightInd w:val="0"/>
        <w:snapToGrid w:val="0"/>
        <w:spacing w:before="72" w:beforeLines="30" w:line="460" w:lineRule="exact"/>
        <w:ind w:firstLine="480" w:firstLineChars="200"/>
        <w:rPr>
          <w:sz w:val="24"/>
        </w:rPr>
      </w:pPr>
      <w:r>
        <w:rPr>
          <w:rFonts w:hint="eastAsia"/>
          <w:sz w:val="24"/>
        </w:rPr>
        <w:t>（8）我方同意按招标文件规定交纳投标保证金、中标服务费，遵守贵机构有关招标的各项规定。</w:t>
      </w:r>
    </w:p>
    <w:p>
      <w:pPr>
        <w:pStyle w:val="31"/>
        <w:spacing w:after="0" w:line="460" w:lineRule="exact"/>
        <w:ind w:left="-2" w:firstLine="480"/>
        <w:rPr>
          <w:rFonts w:ascii="Times New Roman" w:hAnsi="Times New Roman"/>
          <w:sz w:val="24"/>
        </w:rPr>
      </w:pPr>
      <w:r>
        <w:rPr>
          <w:rFonts w:hint="eastAsia" w:ascii="Times New Roman" w:hAnsi="Times New Roman"/>
          <w:sz w:val="24"/>
        </w:rPr>
        <w:t>（9）与本报价有关的所有往来信函，应按下列地址进行：</w:t>
      </w:r>
    </w:p>
    <w:p>
      <w:pPr>
        <w:tabs>
          <w:tab w:val="left" w:pos="6660"/>
        </w:tabs>
        <w:adjustRightInd w:val="0"/>
        <w:snapToGrid w:val="0"/>
        <w:spacing w:before="72" w:beforeLines="30"/>
        <w:ind w:firstLine="1200" w:firstLineChars="500"/>
        <w:rPr>
          <w:sz w:val="24"/>
        </w:rPr>
      </w:pPr>
    </w:p>
    <w:p>
      <w:pPr>
        <w:tabs>
          <w:tab w:val="left" w:pos="6660"/>
        </w:tabs>
        <w:adjustRightInd w:val="0"/>
        <w:snapToGrid w:val="0"/>
        <w:spacing w:before="72" w:beforeLines="30"/>
        <w:ind w:firstLine="720" w:firstLineChars="300"/>
        <w:rPr>
          <w:sz w:val="24"/>
        </w:rPr>
      </w:pPr>
      <w:r>
        <w:rPr>
          <w:rFonts w:hint="eastAsia"/>
          <w:sz w:val="24"/>
        </w:rPr>
        <w:t>地址：                           邮政编码：</w:t>
      </w:r>
    </w:p>
    <w:p>
      <w:pPr>
        <w:tabs>
          <w:tab w:val="left" w:pos="6660"/>
        </w:tabs>
        <w:adjustRightInd w:val="0"/>
        <w:snapToGrid w:val="0"/>
        <w:spacing w:before="72" w:beforeLines="30"/>
        <w:ind w:firstLine="720" w:firstLineChars="300"/>
        <w:rPr>
          <w:sz w:val="24"/>
        </w:rPr>
      </w:pPr>
      <w:r>
        <w:rPr>
          <w:rFonts w:hint="eastAsia"/>
          <w:sz w:val="24"/>
        </w:rPr>
        <w:t>电话：                           传真：</w:t>
      </w:r>
    </w:p>
    <w:p>
      <w:pPr>
        <w:tabs>
          <w:tab w:val="left" w:pos="6660"/>
        </w:tabs>
        <w:adjustRightInd w:val="0"/>
        <w:snapToGrid w:val="0"/>
        <w:spacing w:before="72" w:beforeLines="30"/>
        <w:ind w:firstLine="720" w:firstLineChars="300"/>
        <w:rPr>
          <w:sz w:val="24"/>
        </w:rPr>
      </w:pPr>
      <w:r>
        <w:rPr>
          <w:rFonts w:hint="eastAsia"/>
          <w:sz w:val="24"/>
        </w:rPr>
        <w:t>电子信箱：</w:t>
      </w:r>
    </w:p>
    <w:p>
      <w:pPr>
        <w:tabs>
          <w:tab w:val="left" w:pos="6660"/>
        </w:tabs>
        <w:adjustRightInd w:val="0"/>
        <w:snapToGrid w:val="0"/>
        <w:spacing w:before="72" w:beforeLines="30"/>
        <w:ind w:firstLine="720" w:firstLineChars="300"/>
        <w:rPr>
          <w:sz w:val="24"/>
        </w:rPr>
      </w:pPr>
      <w:r>
        <w:rPr>
          <w:rFonts w:hint="eastAsia"/>
          <w:sz w:val="24"/>
        </w:rPr>
        <w:t>投标人全称：                     开户银行名称：</w:t>
      </w:r>
    </w:p>
    <w:p>
      <w:pPr>
        <w:tabs>
          <w:tab w:val="left" w:pos="6660"/>
        </w:tabs>
        <w:adjustRightInd w:val="0"/>
        <w:snapToGrid w:val="0"/>
        <w:spacing w:before="72" w:beforeLines="30"/>
        <w:ind w:firstLine="720" w:firstLineChars="300"/>
        <w:rPr>
          <w:sz w:val="24"/>
        </w:rPr>
      </w:pPr>
      <w:r>
        <w:rPr>
          <w:rFonts w:hint="eastAsia"/>
          <w:sz w:val="24"/>
        </w:rPr>
        <w:t>公章：                           银行帐号：</w:t>
      </w:r>
    </w:p>
    <w:p>
      <w:pPr>
        <w:tabs>
          <w:tab w:val="left" w:pos="6660"/>
        </w:tabs>
        <w:adjustRightInd w:val="0"/>
        <w:snapToGrid w:val="0"/>
        <w:spacing w:before="72" w:beforeLines="30"/>
        <w:ind w:firstLine="720" w:firstLineChars="300"/>
        <w:rPr>
          <w:sz w:val="24"/>
        </w:rPr>
      </w:pPr>
      <w:r>
        <w:rPr>
          <w:rFonts w:hint="eastAsia"/>
          <w:sz w:val="24"/>
        </w:rPr>
        <w:t>法人代表签字：                   开户行地址：</w:t>
      </w:r>
    </w:p>
    <w:p>
      <w:pPr>
        <w:pStyle w:val="31"/>
        <w:adjustRightInd w:val="0"/>
        <w:snapToGrid w:val="0"/>
        <w:spacing w:after="0"/>
        <w:ind w:left="571" w:leftChars="272" w:firstLine="480"/>
        <w:jc w:val="right"/>
        <w:rPr>
          <w:rFonts w:ascii="Times New Roman" w:hAnsi="Times New Roman"/>
          <w:sz w:val="24"/>
        </w:rPr>
      </w:pPr>
    </w:p>
    <w:p>
      <w:pPr>
        <w:spacing w:line="360" w:lineRule="auto"/>
        <w:ind w:left="795" w:firstLine="6960" w:firstLineChars="2900"/>
        <w:rPr>
          <w:sz w:val="24"/>
          <w:szCs w:val="24"/>
        </w:rPr>
      </w:pPr>
      <w:r>
        <w:rPr>
          <w:rFonts w:hint="eastAsia"/>
          <w:sz w:val="24"/>
        </w:rPr>
        <w:t>年  月  日</w:t>
      </w:r>
    </w:p>
    <w:p>
      <w:pPr>
        <w:pStyle w:val="5"/>
        <w:numPr>
          <w:ilvl w:val="0"/>
          <w:numId w:val="0"/>
        </w:numPr>
        <w:spacing w:before="120" w:after="120" w:line="560" w:lineRule="exact"/>
        <w:rPr>
          <w:rFonts w:cs="宋体"/>
          <w:bCs w:val="0"/>
          <w:sz w:val="24"/>
          <w:szCs w:val="24"/>
        </w:rPr>
      </w:pPr>
      <w:bookmarkStart w:id="389" w:name="_Toc14686"/>
      <w:bookmarkStart w:id="390" w:name="_Toc15569"/>
      <w:bookmarkStart w:id="391" w:name="_Toc51786902"/>
      <w:bookmarkStart w:id="392" w:name="_Toc49503563"/>
      <w:r>
        <w:rPr>
          <w:rFonts w:hint="eastAsia" w:cs="宋体"/>
          <w:bCs w:val="0"/>
          <w:sz w:val="24"/>
          <w:szCs w:val="24"/>
        </w:rPr>
        <w:t>附件二：法定代表人或授权分支机构负责人身份证明及授权委托书</w:t>
      </w:r>
      <w:bookmarkEnd w:id="388"/>
      <w:bookmarkEnd w:id="389"/>
      <w:bookmarkEnd w:id="390"/>
      <w:bookmarkEnd w:id="391"/>
      <w:bookmarkEnd w:id="392"/>
    </w:p>
    <w:p>
      <w:pPr>
        <w:pStyle w:val="31"/>
        <w:spacing w:after="0" w:line="460" w:lineRule="exact"/>
        <w:jc w:val="center"/>
        <w:rPr>
          <w:rFonts w:ascii="Times New Roman" w:hAnsi="Times New Roman" w:cs="宋体"/>
          <w:b/>
          <w:bCs/>
          <w:sz w:val="32"/>
          <w:szCs w:val="32"/>
        </w:rPr>
      </w:pPr>
      <w:r>
        <w:rPr>
          <w:rFonts w:hint="eastAsia" w:ascii="Times New Roman" w:hAnsi="Times New Roman" w:cs="宋体"/>
          <w:b/>
          <w:bCs/>
          <w:sz w:val="32"/>
          <w:szCs w:val="32"/>
        </w:rPr>
        <w:t>法定代表人或授权分支机构负责人身份证明</w:t>
      </w:r>
    </w:p>
    <w:p>
      <w:pPr>
        <w:spacing w:line="500" w:lineRule="exact"/>
        <w:rPr>
          <w:b/>
          <w:kern w:val="0"/>
          <w:sz w:val="28"/>
          <w:szCs w:val="28"/>
        </w:rPr>
      </w:pPr>
    </w:p>
    <w:p>
      <w:pPr>
        <w:spacing w:line="500" w:lineRule="exact"/>
        <w:rPr>
          <w:sz w:val="24"/>
          <w:u w:val="single"/>
        </w:rPr>
      </w:pPr>
      <w:r>
        <w:rPr>
          <w:rFonts w:hint="eastAsia"/>
          <w:sz w:val="24"/>
        </w:rPr>
        <w:t>单位名称：</w:t>
      </w:r>
      <w:r>
        <w:rPr>
          <w:rFonts w:hint="eastAsia"/>
          <w:sz w:val="24"/>
          <w:u w:val="single"/>
        </w:rPr>
        <w:t xml:space="preserve">                     </w:t>
      </w:r>
      <w:r>
        <w:rPr>
          <w:rFonts w:hint="eastAsia"/>
          <w:sz w:val="24"/>
        </w:rPr>
        <w:t xml:space="preserve">        单位性质：</w:t>
      </w:r>
      <w:r>
        <w:rPr>
          <w:rFonts w:hint="eastAsia"/>
          <w:sz w:val="24"/>
          <w:u w:val="single"/>
        </w:rPr>
        <w:t xml:space="preserve">                           </w:t>
      </w:r>
    </w:p>
    <w:p>
      <w:pPr>
        <w:spacing w:line="500" w:lineRule="exact"/>
        <w:rPr>
          <w:sz w:val="24"/>
          <w:u w:val="single"/>
        </w:rPr>
      </w:pPr>
      <w:r>
        <w:rPr>
          <w:rFonts w:hint="eastAsia"/>
          <w:sz w:val="24"/>
        </w:rPr>
        <w:t>地    址：</w:t>
      </w:r>
      <w:r>
        <w:rPr>
          <w:rFonts w:hint="eastAsia"/>
          <w:sz w:val="24"/>
          <w:u w:val="single"/>
        </w:rPr>
        <w:t xml:space="preserve">                          </w:t>
      </w:r>
      <w:r>
        <w:rPr>
          <w:rFonts w:hint="eastAsia"/>
          <w:sz w:val="24"/>
        </w:rPr>
        <w:t xml:space="preserve">   成立时间：</w:t>
      </w:r>
      <w:r>
        <w:rPr>
          <w:rFonts w:hint="eastAsia"/>
          <w:sz w:val="24"/>
          <w:u w:val="single"/>
        </w:rPr>
        <w:t xml:space="preserve">                           </w:t>
      </w:r>
    </w:p>
    <w:p>
      <w:pPr>
        <w:spacing w:line="500" w:lineRule="exact"/>
        <w:rPr>
          <w:sz w:val="24"/>
          <w:u w:val="single"/>
        </w:rPr>
      </w:pPr>
      <w:r>
        <w:rPr>
          <w:rFonts w:hint="eastAsia"/>
          <w:sz w:val="24"/>
        </w:rPr>
        <w:t>经营期限：</w:t>
      </w:r>
      <w:r>
        <w:rPr>
          <w:rFonts w:hint="eastAsia"/>
          <w:sz w:val="24"/>
          <w:u w:val="single"/>
        </w:rPr>
        <w:t xml:space="preserve">                                                                  </w:t>
      </w:r>
    </w:p>
    <w:p>
      <w:pPr>
        <w:spacing w:line="520" w:lineRule="exact"/>
        <w:ind w:firstLine="236" w:firstLineChars="98"/>
        <w:rPr>
          <w:sz w:val="24"/>
        </w:rPr>
      </w:pPr>
      <w:r>
        <w:rPr>
          <w:rFonts w:hint="eastAsia"/>
          <w:b/>
          <w:sz w:val="24"/>
        </w:rPr>
        <w:t>附：</w:t>
      </w:r>
      <w:r>
        <w:rPr>
          <w:rFonts w:hint="eastAsia"/>
          <w:sz w:val="24"/>
        </w:rPr>
        <w:t>法人的身份证复印件（需粘贴正反面）</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380" w:type="dxa"/>
          </w:tcPr>
          <w:p>
            <w:pPr>
              <w:spacing w:line="440" w:lineRule="exact"/>
              <w:rPr>
                <w:sz w:val="24"/>
              </w:rPr>
            </w:pPr>
          </w:p>
          <w:p>
            <w:pPr>
              <w:spacing w:line="440" w:lineRule="exact"/>
              <w:rPr>
                <w:sz w:val="24"/>
              </w:rPr>
            </w:pPr>
          </w:p>
          <w:p>
            <w:pPr>
              <w:spacing w:line="440" w:lineRule="exact"/>
              <w:rPr>
                <w:sz w:val="24"/>
              </w:rPr>
            </w:pPr>
          </w:p>
          <w:p>
            <w:pPr>
              <w:spacing w:line="440" w:lineRule="exact"/>
              <w:jc w:val="center"/>
              <w:rPr>
                <w:sz w:val="24"/>
              </w:rPr>
            </w:pPr>
            <w:r>
              <w:rPr>
                <w:rFonts w:hint="eastAsia"/>
                <w:sz w:val="24"/>
              </w:rPr>
              <w:t>（此处粘贴法人身份证复印件正面）</w:t>
            </w: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0" w:type="dxa"/>
          </w:tcPr>
          <w:p>
            <w:pPr>
              <w:spacing w:line="440" w:lineRule="exact"/>
              <w:rPr>
                <w:sz w:val="24"/>
              </w:rPr>
            </w:pPr>
          </w:p>
          <w:p>
            <w:pPr>
              <w:spacing w:line="440" w:lineRule="exact"/>
              <w:rPr>
                <w:sz w:val="24"/>
              </w:rPr>
            </w:pPr>
          </w:p>
          <w:p>
            <w:pPr>
              <w:spacing w:line="440" w:lineRule="exact"/>
              <w:rPr>
                <w:sz w:val="24"/>
              </w:rPr>
            </w:pPr>
          </w:p>
          <w:p>
            <w:pPr>
              <w:spacing w:line="440" w:lineRule="exact"/>
              <w:jc w:val="center"/>
              <w:rPr>
                <w:sz w:val="24"/>
              </w:rPr>
            </w:pPr>
            <w:r>
              <w:rPr>
                <w:rFonts w:hint="eastAsia"/>
                <w:sz w:val="24"/>
              </w:rPr>
              <w:t>（此处粘贴法人身份证复印件反面）</w:t>
            </w:r>
          </w:p>
          <w:p>
            <w:pPr>
              <w:spacing w:line="440" w:lineRule="exact"/>
              <w:rPr>
                <w:sz w:val="24"/>
              </w:rPr>
            </w:pPr>
          </w:p>
          <w:p>
            <w:pPr>
              <w:spacing w:line="440" w:lineRule="exact"/>
              <w:rPr>
                <w:sz w:val="24"/>
              </w:rPr>
            </w:pPr>
          </w:p>
          <w:p>
            <w:pPr>
              <w:spacing w:line="440" w:lineRule="exact"/>
              <w:rPr>
                <w:sz w:val="24"/>
              </w:rPr>
            </w:pPr>
          </w:p>
        </w:tc>
      </w:tr>
    </w:tbl>
    <w:p>
      <w:pPr>
        <w:spacing w:line="240" w:lineRule="exact"/>
        <w:rPr>
          <w:sz w:val="24"/>
        </w:rPr>
      </w:pPr>
    </w:p>
    <w:p>
      <w:pPr>
        <w:spacing w:line="500" w:lineRule="exact"/>
        <w:ind w:firstLine="235" w:firstLineChars="98"/>
        <w:rPr>
          <w:sz w:val="24"/>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 xml:space="preserve"> 年龄：</w:t>
      </w:r>
      <w:r>
        <w:rPr>
          <w:rFonts w:hint="eastAsia"/>
          <w:sz w:val="24"/>
          <w:u w:val="single"/>
        </w:rPr>
        <w:t xml:space="preserve">        </w:t>
      </w:r>
      <w:r>
        <w:rPr>
          <w:rFonts w:hint="eastAsia"/>
          <w:sz w:val="24"/>
        </w:rPr>
        <w:t>职务：</w:t>
      </w:r>
      <w:r>
        <w:rPr>
          <w:rFonts w:hint="eastAsia"/>
          <w:sz w:val="24"/>
          <w:u w:val="single"/>
        </w:rPr>
        <w:t xml:space="preserve">            </w:t>
      </w:r>
    </w:p>
    <w:p>
      <w:pPr>
        <w:spacing w:line="500" w:lineRule="exact"/>
        <w:ind w:firstLine="235" w:firstLineChars="98"/>
        <w:rPr>
          <w:sz w:val="24"/>
        </w:rPr>
      </w:pPr>
      <w:r>
        <w:rPr>
          <w:rFonts w:hint="eastAsia"/>
          <w:sz w:val="24"/>
        </w:rPr>
        <w:t>系</w:t>
      </w:r>
      <w:r>
        <w:rPr>
          <w:rFonts w:hint="eastAsia"/>
          <w:sz w:val="24"/>
          <w:u w:val="single"/>
        </w:rPr>
        <w:t xml:space="preserve">                            </w:t>
      </w:r>
      <w:r>
        <w:rPr>
          <w:rFonts w:hint="eastAsia"/>
          <w:sz w:val="24"/>
        </w:rPr>
        <w:t>（投标人名称）的法定代表人。</w:t>
      </w:r>
    </w:p>
    <w:p>
      <w:pPr>
        <w:spacing w:line="500" w:lineRule="exact"/>
        <w:ind w:firstLine="235" w:firstLineChars="98"/>
        <w:rPr>
          <w:sz w:val="24"/>
        </w:rPr>
      </w:pPr>
      <w:r>
        <w:rPr>
          <w:rFonts w:hint="eastAsia"/>
          <w:sz w:val="24"/>
        </w:rPr>
        <w:t>特此证明。</w:t>
      </w:r>
    </w:p>
    <w:p>
      <w:pPr>
        <w:spacing w:line="660" w:lineRule="exact"/>
        <w:ind w:firstLine="235" w:firstLineChars="98"/>
        <w:rPr>
          <w:sz w:val="24"/>
        </w:rPr>
      </w:pPr>
      <w:r>
        <w:rPr>
          <w:rFonts w:hint="eastAsia"/>
          <w:sz w:val="24"/>
        </w:rPr>
        <w:t>投标人：（盖章）</w:t>
      </w:r>
    </w:p>
    <w:p>
      <w:pPr>
        <w:spacing w:line="660" w:lineRule="exact"/>
        <w:ind w:firstLine="240" w:firstLineChars="100"/>
        <w:rPr>
          <w:sz w:val="24"/>
        </w:rPr>
      </w:pPr>
      <w:r>
        <w:rPr>
          <w:rFonts w:hint="eastAsia"/>
          <w:sz w:val="24"/>
        </w:rPr>
        <w:t>法定代表人：（签字或签章）</w:t>
      </w:r>
    </w:p>
    <w:p>
      <w:pPr>
        <w:pStyle w:val="31"/>
        <w:spacing w:after="0" w:line="460" w:lineRule="exact"/>
        <w:ind w:firstLine="240" w:firstLineChars="100"/>
        <w:rPr>
          <w:rFonts w:ascii="Times New Roman" w:hAnsi="Times New Roman" w:cs="宋体"/>
          <w:b/>
          <w:bCs/>
          <w:sz w:val="32"/>
          <w:szCs w:val="32"/>
        </w:rPr>
        <w:sectPr>
          <w:pgSz w:w="11907" w:h="16840"/>
          <w:pgMar w:top="1702" w:right="1418" w:bottom="1418" w:left="1418" w:header="851" w:footer="822" w:gutter="0"/>
          <w:cols w:space="720" w:num="1"/>
          <w:docGrid w:linePitch="290" w:charSpace="-3931"/>
        </w:sectPr>
      </w:pPr>
      <w:r>
        <w:rPr>
          <w:rFonts w:hint="eastAsia" w:ascii="Times New Roman" w:hAnsi="Times New Roman"/>
          <w:sz w:val="24"/>
        </w:rPr>
        <w:t>日  期：</w:t>
      </w:r>
      <w:r>
        <w:rPr>
          <w:rFonts w:hint="eastAsia" w:ascii="Times New Roman" w:hAnsi="Times New Roman"/>
          <w:sz w:val="24"/>
          <w:u w:val="single"/>
        </w:rPr>
        <w:t xml:space="preserve">       </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月</w:t>
      </w:r>
      <w:r>
        <w:rPr>
          <w:rFonts w:hint="eastAsia" w:ascii="Times New Roman" w:hAnsi="Times New Roman"/>
          <w:sz w:val="24"/>
          <w:u w:val="single"/>
        </w:rPr>
        <w:t xml:space="preserve">   </w:t>
      </w:r>
      <w:r>
        <w:rPr>
          <w:rFonts w:hint="eastAsia" w:ascii="Times New Roman" w:hAnsi="Times New Roman"/>
          <w:sz w:val="24"/>
        </w:rPr>
        <w:t>日</w:t>
      </w:r>
    </w:p>
    <w:p>
      <w:pPr>
        <w:pStyle w:val="31"/>
        <w:spacing w:after="0" w:line="460" w:lineRule="exact"/>
        <w:jc w:val="center"/>
        <w:rPr>
          <w:rFonts w:ascii="Times New Roman" w:hAnsi="Times New Roman"/>
          <w:b/>
          <w:bCs/>
          <w:sz w:val="32"/>
          <w:szCs w:val="32"/>
        </w:rPr>
      </w:pPr>
      <w:r>
        <w:rPr>
          <w:rFonts w:hint="eastAsia" w:ascii="Times New Roman" w:hAnsi="Times New Roman" w:cs="宋体"/>
          <w:b/>
          <w:bCs/>
          <w:sz w:val="32"/>
          <w:szCs w:val="32"/>
        </w:rPr>
        <w:t>法定代表人或分支机构负责人授权委托书</w:t>
      </w:r>
    </w:p>
    <w:p>
      <w:pPr>
        <w:pStyle w:val="31"/>
        <w:spacing w:after="0" w:line="460" w:lineRule="exact"/>
        <w:jc w:val="center"/>
        <w:rPr>
          <w:rFonts w:ascii="Times New Roman" w:hAnsi="Times New Roman"/>
          <w:b/>
          <w:bCs/>
          <w:sz w:val="32"/>
          <w:szCs w:val="32"/>
        </w:rPr>
      </w:pPr>
    </w:p>
    <w:p>
      <w:pPr>
        <w:spacing w:line="440" w:lineRule="exact"/>
        <w:ind w:firstLine="525"/>
        <w:rPr>
          <w:sz w:val="24"/>
          <w:u w:val="single"/>
        </w:rPr>
      </w:pP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（投标人名称）的法定代表人，现授权委托</w:t>
      </w:r>
      <w:r>
        <w:rPr>
          <w:rFonts w:hint="eastAsia"/>
          <w:sz w:val="24"/>
          <w:u w:val="single"/>
        </w:rPr>
        <w:t xml:space="preserve">                  </w:t>
      </w:r>
      <w:r>
        <w:rPr>
          <w:rFonts w:hint="eastAsia"/>
          <w:sz w:val="24"/>
        </w:rPr>
        <w:t>（单位名称）的</w:t>
      </w:r>
      <w:r>
        <w:rPr>
          <w:rFonts w:hint="eastAsia"/>
          <w:sz w:val="24"/>
          <w:u w:val="single"/>
        </w:rPr>
        <w:t xml:space="preserve">             </w:t>
      </w:r>
      <w:r>
        <w:rPr>
          <w:rFonts w:hint="eastAsia"/>
          <w:sz w:val="24"/>
        </w:rPr>
        <w:t>（姓名）为我公司代理人，以本公司的名义参加</w:t>
      </w:r>
      <w:r>
        <w:rPr>
          <w:rFonts w:hint="eastAsia"/>
          <w:sz w:val="24"/>
          <w:u w:val="single"/>
        </w:rPr>
        <w:t xml:space="preserve">            （采购人名称）</w:t>
      </w:r>
      <w:r>
        <w:rPr>
          <w:rFonts w:hint="eastAsia"/>
          <w:sz w:val="24"/>
        </w:rPr>
        <w:t>的</w:t>
      </w:r>
      <w:r>
        <w:rPr>
          <w:rFonts w:hint="eastAsia"/>
          <w:sz w:val="24"/>
          <w:u w:val="single"/>
        </w:rPr>
        <w:t xml:space="preserve">   （工程名称）</w:t>
      </w:r>
      <w:r>
        <w:rPr>
          <w:rFonts w:hint="eastAsia"/>
          <w:sz w:val="24"/>
        </w:rPr>
        <w:t>的采购活动。代理人在公开报价、谈判、合同签订过程中所签署的一切文件和处理与之有关的一切事务，我均予以承认。</w:t>
      </w:r>
    </w:p>
    <w:p>
      <w:pPr>
        <w:spacing w:line="440" w:lineRule="exact"/>
        <w:ind w:firstLine="235" w:firstLineChars="98"/>
        <w:rPr>
          <w:sz w:val="24"/>
        </w:rPr>
      </w:pPr>
      <w:r>
        <w:rPr>
          <w:rFonts w:hint="eastAsia"/>
          <w:sz w:val="24"/>
        </w:rPr>
        <w:t>本授权委托书于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日签字生效，代理人无转委托权，特此声明。</w:t>
      </w:r>
    </w:p>
    <w:p>
      <w:pPr>
        <w:spacing w:line="440" w:lineRule="exact"/>
        <w:ind w:firstLine="420"/>
        <w:rPr>
          <w:sz w:val="24"/>
        </w:rPr>
      </w:pPr>
      <w:r>
        <w:rPr>
          <w:rFonts w:hint="eastAsia"/>
          <w:b/>
          <w:sz w:val="24"/>
        </w:rPr>
        <w:t>附：</w:t>
      </w:r>
      <w:r>
        <w:rPr>
          <w:rFonts w:hint="eastAsia"/>
          <w:sz w:val="24"/>
        </w:rPr>
        <w:t>委托代理人的身份证复印件（需粘贴正反面）</w:t>
      </w:r>
    </w:p>
    <w:p>
      <w:pPr>
        <w:spacing w:line="120" w:lineRule="exact"/>
        <w:ind w:firstLine="420"/>
        <w:rPr>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380" w:type="dxa"/>
          </w:tcPr>
          <w:p>
            <w:pPr>
              <w:spacing w:line="440" w:lineRule="exact"/>
              <w:rPr>
                <w:sz w:val="24"/>
              </w:rPr>
            </w:pPr>
          </w:p>
          <w:p>
            <w:pPr>
              <w:spacing w:line="440" w:lineRule="exact"/>
              <w:rPr>
                <w:sz w:val="24"/>
              </w:rPr>
            </w:pPr>
          </w:p>
          <w:p>
            <w:pPr>
              <w:spacing w:line="440" w:lineRule="exact"/>
              <w:rPr>
                <w:sz w:val="24"/>
              </w:rPr>
            </w:pPr>
          </w:p>
          <w:p>
            <w:pPr>
              <w:spacing w:line="440" w:lineRule="exact"/>
              <w:jc w:val="center"/>
              <w:rPr>
                <w:sz w:val="24"/>
              </w:rPr>
            </w:pPr>
            <w:r>
              <w:rPr>
                <w:rFonts w:hint="eastAsia"/>
                <w:sz w:val="24"/>
              </w:rPr>
              <w:t>（此处粘贴委托代理人的身份证复印件正面）</w:t>
            </w: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0" w:type="dxa"/>
          </w:tcPr>
          <w:p>
            <w:pPr>
              <w:spacing w:line="440" w:lineRule="exact"/>
              <w:rPr>
                <w:sz w:val="24"/>
              </w:rPr>
            </w:pPr>
          </w:p>
          <w:p>
            <w:pPr>
              <w:spacing w:line="440" w:lineRule="exact"/>
              <w:rPr>
                <w:sz w:val="24"/>
              </w:rPr>
            </w:pPr>
          </w:p>
          <w:p>
            <w:pPr>
              <w:spacing w:line="440" w:lineRule="exact"/>
              <w:rPr>
                <w:sz w:val="24"/>
              </w:rPr>
            </w:pPr>
          </w:p>
          <w:p>
            <w:pPr>
              <w:spacing w:line="440" w:lineRule="exact"/>
              <w:jc w:val="center"/>
              <w:rPr>
                <w:sz w:val="24"/>
              </w:rPr>
            </w:pPr>
            <w:r>
              <w:rPr>
                <w:rFonts w:hint="eastAsia"/>
                <w:sz w:val="24"/>
              </w:rPr>
              <w:t>（此处粘贴委托代理人的身份证复印件反面）</w:t>
            </w:r>
          </w:p>
          <w:p>
            <w:pPr>
              <w:spacing w:line="440" w:lineRule="exact"/>
              <w:rPr>
                <w:sz w:val="24"/>
              </w:rPr>
            </w:pPr>
          </w:p>
          <w:p>
            <w:pPr>
              <w:spacing w:line="440" w:lineRule="exact"/>
              <w:rPr>
                <w:sz w:val="24"/>
              </w:rPr>
            </w:pPr>
          </w:p>
          <w:p>
            <w:pPr>
              <w:spacing w:line="440" w:lineRule="exact"/>
              <w:rPr>
                <w:sz w:val="24"/>
              </w:rPr>
            </w:pPr>
          </w:p>
        </w:tc>
      </w:tr>
    </w:tbl>
    <w:p>
      <w:pPr>
        <w:spacing w:line="460" w:lineRule="exact"/>
        <w:ind w:firstLine="235" w:firstLineChars="98"/>
        <w:rPr>
          <w:sz w:val="24"/>
        </w:rPr>
      </w:pPr>
      <w:r>
        <w:rPr>
          <w:rFonts w:hint="eastAsia"/>
          <w:sz w:val="24"/>
        </w:rPr>
        <w:t>委托代理人姓名：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pPr>
        <w:spacing w:line="460" w:lineRule="exact"/>
        <w:ind w:firstLine="235" w:firstLineChars="98"/>
        <w:rPr>
          <w:sz w:val="24"/>
        </w:rPr>
      </w:pPr>
      <w:r>
        <w:rPr>
          <w:rFonts w:hint="eastAsia"/>
          <w:sz w:val="24"/>
        </w:rPr>
        <w:t>单位：</w:t>
      </w:r>
      <w:r>
        <w:rPr>
          <w:rFonts w:hint="eastAsia"/>
          <w:sz w:val="24"/>
          <w:u w:val="single"/>
        </w:rPr>
        <w:t xml:space="preserve">                      </w:t>
      </w:r>
      <w:r>
        <w:rPr>
          <w:rFonts w:hint="eastAsia"/>
          <w:sz w:val="24"/>
        </w:rPr>
        <w:t>部门：</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职务：</w:t>
      </w:r>
      <w:r>
        <w:rPr>
          <w:rFonts w:hint="eastAsia"/>
          <w:sz w:val="24"/>
          <w:u w:val="single"/>
        </w:rPr>
        <w:t xml:space="preserve">           </w:t>
      </w:r>
    </w:p>
    <w:p>
      <w:pPr>
        <w:spacing w:line="300" w:lineRule="exact"/>
        <w:rPr>
          <w:sz w:val="24"/>
        </w:rPr>
      </w:pPr>
    </w:p>
    <w:p>
      <w:pPr>
        <w:spacing w:line="660" w:lineRule="exact"/>
        <w:rPr>
          <w:sz w:val="24"/>
          <w:u w:val="single"/>
        </w:rPr>
      </w:pPr>
      <w:r>
        <w:rPr>
          <w:rFonts w:hint="eastAsia"/>
          <w:sz w:val="24"/>
        </w:rPr>
        <w:t>投标人：（公章）</w:t>
      </w:r>
    </w:p>
    <w:p>
      <w:pPr>
        <w:spacing w:line="660" w:lineRule="exact"/>
        <w:rPr>
          <w:sz w:val="24"/>
        </w:rPr>
      </w:pPr>
      <w:r>
        <w:rPr>
          <w:rFonts w:hint="eastAsia"/>
          <w:sz w:val="24"/>
        </w:rPr>
        <w:t>法定代表人：（签字或盖章）</w:t>
      </w:r>
    </w:p>
    <w:p>
      <w:pPr>
        <w:spacing w:line="660" w:lineRule="exact"/>
        <w:rPr>
          <w:sz w:val="24"/>
          <w:u w:val="single"/>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pStyle w:val="5"/>
        <w:numPr>
          <w:ilvl w:val="0"/>
          <w:numId w:val="0"/>
        </w:numPr>
        <w:spacing w:before="120" w:after="120" w:line="560" w:lineRule="exact"/>
        <w:rPr>
          <w:rFonts w:cs="宋体"/>
          <w:bCs w:val="0"/>
          <w:sz w:val="24"/>
          <w:szCs w:val="24"/>
        </w:rPr>
      </w:pPr>
      <w:bookmarkStart w:id="393" w:name="_Toc518655806"/>
      <w:bookmarkStart w:id="394" w:name="_Toc49503564"/>
      <w:bookmarkStart w:id="395" w:name="_Toc32246"/>
      <w:bookmarkStart w:id="396" w:name="_Toc14032"/>
      <w:bookmarkStart w:id="397" w:name="_Toc9294"/>
      <w:bookmarkStart w:id="398" w:name="_Toc424118183"/>
      <w:bookmarkStart w:id="399" w:name="_Toc3510"/>
      <w:bookmarkStart w:id="400" w:name="_Toc51786903"/>
      <w:bookmarkStart w:id="401" w:name="_Toc353881014"/>
      <w:r>
        <w:rPr>
          <w:rFonts w:hint="eastAsia" w:cs="宋体"/>
          <w:bCs w:val="0"/>
          <w:sz w:val="24"/>
          <w:szCs w:val="24"/>
        </w:rPr>
        <w:t>附件三：投标人基本情况表</w:t>
      </w:r>
      <w:bookmarkEnd w:id="393"/>
      <w:bookmarkEnd w:id="394"/>
      <w:bookmarkEnd w:id="395"/>
      <w:bookmarkEnd w:id="396"/>
      <w:bookmarkEnd w:id="397"/>
      <w:bookmarkEnd w:id="398"/>
      <w:bookmarkEnd w:id="399"/>
      <w:bookmarkEnd w:id="400"/>
      <w:bookmarkEnd w:id="401"/>
    </w:p>
    <w:p>
      <w:pPr>
        <w:pStyle w:val="31"/>
        <w:spacing w:after="240" w:afterLines="100" w:line="460" w:lineRule="exact"/>
        <w:jc w:val="center"/>
        <w:rPr>
          <w:rFonts w:ascii="Times New Roman" w:hAnsi="Times New Roman" w:cs="宋体"/>
          <w:b/>
          <w:bCs/>
          <w:sz w:val="32"/>
          <w:szCs w:val="32"/>
        </w:rPr>
      </w:pPr>
      <w:bookmarkStart w:id="402" w:name="_Toc49503565"/>
      <w:bookmarkStart w:id="403" w:name="_Toc51786773"/>
      <w:bookmarkStart w:id="404" w:name="_Toc26820"/>
      <w:bookmarkStart w:id="405" w:name="_Toc49503649"/>
      <w:bookmarkStart w:id="406" w:name="_Toc5243"/>
      <w:bookmarkStart w:id="407" w:name="_Toc51786904"/>
      <w:r>
        <w:rPr>
          <w:rFonts w:hint="eastAsia" w:ascii="Times New Roman" w:hAnsi="Times New Roman" w:cs="宋体"/>
          <w:b/>
          <w:bCs/>
          <w:sz w:val="32"/>
          <w:szCs w:val="32"/>
        </w:rPr>
        <w:t>投标人基本情况表</w:t>
      </w:r>
      <w:bookmarkEnd w:id="402"/>
      <w:bookmarkEnd w:id="403"/>
      <w:bookmarkEnd w:id="404"/>
      <w:bookmarkEnd w:id="405"/>
      <w:bookmarkEnd w:id="406"/>
      <w:bookmarkEnd w:id="407"/>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080"/>
        <w:gridCol w:w="1260"/>
        <w:gridCol w:w="1080"/>
        <w:gridCol w:w="162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00" w:type="dxa"/>
            <w:vAlign w:val="center"/>
          </w:tcPr>
          <w:p>
            <w:pPr>
              <w:spacing w:line="280" w:lineRule="exact"/>
              <w:jc w:val="center"/>
            </w:pPr>
            <w:r>
              <w:rPr>
                <w:rFonts w:hint="eastAsia"/>
              </w:rPr>
              <w:t>投标人名称</w:t>
            </w:r>
          </w:p>
        </w:tc>
        <w:tc>
          <w:tcPr>
            <w:tcW w:w="7560" w:type="dxa"/>
            <w:gridSpan w:val="6"/>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vAlign w:val="center"/>
          </w:tcPr>
          <w:p>
            <w:pPr>
              <w:spacing w:line="280" w:lineRule="exact"/>
              <w:jc w:val="center"/>
            </w:pPr>
            <w:r>
              <w:rPr>
                <w:rFonts w:hint="eastAsia"/>
              </w:rPr>
              <w:t>注册地址</w:t>
            </w:r>
          </w:p>
        </w:tc>
        <w:tc>
          <w:tcPr>
            <w:tcW w:w="3420" w:type="dxa"/>
            <w:gridSpan w:val="3"/>
            <w:vAlign w:val="center"/>
          </w:tcPr>
          <w:p>
            <w:pPr>
              <w:spacing w:line="280" w:lineRule="exact"/>
              <w:jc w:val="center"/>
            </w:pPr>
          </w:p>
        </w:tc>
        <w:tc>
          <w:tcPr>
            <w:tcW w:w="1620" w:type="dxa"/>
            <w:vAlign w:val="center"/>
          </w:tcPr>
          <w:p>
            <w:pPr>
              <w:spacing w:line="280" w:lineRule="exact"/>
              <w:jc w:val="center"/>
            </w:pPr>
            <w:r>
              <w:rPr>
                <w:rFonts w:hint="eastAsia"/>
              </w:rPr>
              <w:t>邮政编码</w:t>
            </w:r>
          </w:p>
        </w:tc>
        <w:tc>
          <w:tcPr>
            <w:tcW w:w="2520" w:type="dxa"/>
            <w:gridSpan w:val="2"/>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vMerge w:val="restart"/>
            <w:vAlign w:val="center"/>
          </w:tcPr>
          <w:p>
            <w:pPr>
              <w:spacing w:line="280" w:lineRule="exact"/>
              <w:jc w:val="center"/>
            </w:pPr>
            <w:r>
              <w:rPr>
                <w:rFonts w:hint="eastAsia"/>
              </w:rPr>
              <w:t>联系方式</w:t>
            </w:r>
          </w:p>
        </w:tc>
        <w:tc>
          <w:tcPr>
            <w:tcW w:w="1080" w:type="dxa"/>
            <w:vAlign w:val="center"/>
          </w:tcPr>
          <w:p>
            <w:pPr>
              <w:spacing w:line="280" w:lineRule="exact"/>
              <w:jc w:val="center"/>
            </w:pPr>
            <w:r>
              <w:rPr>
                <w:rFonts w:hint="eastAsia"/>
              </w:rPr>
              <w:t>联系人</w:t>
            </w:r>
          </w:p>
        </w:tc>
        <w:tc>
          <w:tcPr>
            <w:tcW w:w="2340" w:type="dxa"/>
            <w:gridSpan w:val="2"/>
            <w:vAlign w:val="center"/>
          </w:tcPr>
          <w:p>
            <w:pPr>
              <w:spacing w:line="280" w:lineRule="exact"/>
              <w:jc w:val="center"/>
            </w:pPr>
          </w:p>
        </w:tc>
        <w:tc>
          <w:tcPr>
            <w:tcW w:w="1620" w:type="dxa"/>
            <w:vAlign w:val="center"/>
          </w:tcPr>
          <w:p>
            <w:pPr>
              <w:spacing w:line="280" w:lineRule="exact"/>
              <w:jc w:val="center"/>
            </w:pPr>
            <w:r>
              <w:rPr>
                <w:rFonts w:hint="eastAsia"/>
              </w:rPr>
              <w:t>电话</w:t>
            </w:r>
          </w:p>
        </w:tc>
        <w:tc>
          <w:tcPr>
            <w:tcW w:w="2520" w:type="dxa"/>
            <w:gridSpan w:val="2"/>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00" w:type="dxa"/>
            <w:vMerge w:val="continue"/>
            <w:vAlign w:val="center"/>
          </w:tcPr>
          <w:p>
            <w:pPr>
              <w:spacing w:line="280" w:lineRule="exact"/>
              <w:jc w:val="center"/>
            </w:pPr>
          </w:p>
        </w:tc>
        <w:tc>
          <w:tcPr>
            <w:tcW w:w="1080" w:type="dxa"/>
            <w:vAlign w:val="center"/>
          </w:tcPr>
          <w:p>
            <w:pPr>
              <w:spacing w:line="280" w:lineRule="exact"/>
              <w:jc w:val="center"/>
            </w:pPr>
            <w:r>
              <w:rPr>
                <w:rFonts w:hint="eastAsia"/>
              </w:rPr>
              <w:t>传真</w:t>
            </w:r>
          </w:p>
        </w:tc>
        <w:tc>
          <w:tcPr>
            <w:tcW w:w="2340" w:type="dxa"/>
            <w:gridSpan w:val="2"/>
            <w:vAlign w:val="center"/>
          </w:tcPr>
          <w:p>
            <w:pPr>
              <w:spacing w:line="280" w:lineRule="exact"/>
              <w:jc w:val="center"/>
            </w:pPr>
          </w:p>
        </w:tc>
        <w:tc>
          <w:tcPr>
            <w:tcW w:w="1620" w:type="dxa"/>
            <w:vAlign w:val="center"/>
          </w:tcPr>
          <w:p>
            <w:pPr>
              <w:spacing w:line="280" w:lineRule="exact"/>
              <w:jc w:val="center"/>
            </w:pPr>
            <w:r>
              <w:rPr>
                <w:rFonts w:hint="eastAsia"/>
              </w:rPr>
              <w:t>网址</w:t>
            </w:r>
          </w:p>
        </w:tc>
        <w:tc>
          <w:tcPr>
            <w:tcW w:w="2520" w:type="dxa"/>
            <w:gridSpan w:val="2"/>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组织结构</w:t>
            </w:r>
          </w:p>
        </w:tc>
        <w:tc>
          <w:tcPr>
            <w:tcW w:w="7560" w:type="dxa"/>
            <w:gridSpan w:val="6"/>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法定代表人</w:t>
            </w:r>
          </w:p>
        </w:tc>
        <w:tc>
          <w:tcPr>
            <w:tcW w:w="1080" w:type="dxa"/>
            <w:tcBorders>
              <w:top w:val="single" w:color="auto" w:sz="4" w:space="0"/>
            </w:tcBorders>
            <w:vAlign w:val="center"/>
          </w:tcPr>
          <w:p>
            <w:pPr>
              <w:spacing w:line="280" w:lineRule="exact"/>
              <w:jc w:val="center"/>
            </w:pPr>
            <w:r>
              <w:rPr>
                <w:rFonts w:hint="eastAsia"/>
              </w:rPr>
              <w:t>姓名</w:t>
            </w:r>
          </w:p>
        </w:tc>
        <w:tc>
          <w:tcPr>
            <w:tcW w:w="1260" w:type="dxa"/>
            <w:tcBorders>
              <w:top w:val="single" w:color="auto" w:sz="4" w:space="0"/>
            </w:tcBorders>
            <w:vAlign w:val="center"/>
          </w:tcPr>
          <w:p>
            <w:pPr>
              <w:spacing w:line="280" w:lineRule="exact"/>
              <w:jc w:val="center"/>
            </w:pPr>
          </w:p>
        </w:tc>
        <w:tc>
          <w:tcPr>
            <w:tcW w:w="1080" w:type="dxa"/>
            <w:tcBorders>
              <w:top w:val="single" w:color="auto" w:sz="4" w:space="0"/>
            </w:tcBorders>
            <w:vAlign w:val="center"/>
          </w:tcPr>
          <w:p>
            <w:pPr>
              <w:spacing w:line="280" w:lineRule="exact"/>
              <w:jc w:val="center"/>
            </w:pPr>
            <w:r>
              <w:rPr>
                <w:rFonts w:hint="eastAsia"/>
              </w:rPr>
              <w:t>技术职称</w:t>
            </w:r>
          </w:p>
        </w:tc>
        <w:tc>
          <w:tcPr>
            <w:tcW w:w="1620" w:type="dxa"/>
            <w:tcBorders>
              <w:top w:val="single" w:color="auto" w:sz="4" w:space="0"/>
            </w:tcBorders>
            <w:vAlign w:val="center"/>
          </w:tcPr>
          <w:p>
            <w:pPr>
              <w:spacing w:line="280" w:lineRule="exact"/>
              <w:jc w:val="center"/>
            </w:pPr>
          </w:p>
        </w:tc>
        <w:tc>
          <w:tcPr>
            <w:tcW w:w="1080" w:type="dxa"/>
            <w:tcBorders>
              <w:top w:val="single" w:color="auto" w:sz="4" w:space="0"/>
            </w:tcBorders>
            <w:vAlign w:val="center"/>
          </w:tcPr>
          <w:p>
            <w:pPr>
              <w:spacing w:line="280" w:lineRule="exact"/>
              <w:jc w:val="center"/>
            </w:pPr>
            <w:r>
              <w:rPr>
                <w:rFonts w:hint="eastAsia"/>
              </w:rPr>
              <w:t>电话</w:t>
            </w:r>
          </w:p>
        </w:tc>
        <w:tc>
          <w:tcPr>
            <w:tcW w:w="1440" w:type="dxa"/>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0" w:type="dxa"/>
            <w:tcBorders>
              <w:bottom w:val="single" w:color="auto" w:sz="4" w:space="0"/>
            </w:tcBorders>
            <w:vAlign w:val="center"/>
          </w:tcPr>
          <w:p>
            <w:pPr>
              <w:spacing w:line="280" w:lineRule="exact"/>
              <w:jc w:val="center"/>
            </w:pPr>
            <w:r>
              <w:rPr>
                <w:rFonts w:hint="eastAsia"/>
              </w:rPr>
              <w:t>技术负责人</w:t>
            </w:r>
          </w:p>
        </w:tc>
        <w:tc>
          <w:tcPr>
            <w:tcW w:w="1080" w:type="dxa"/>
            <w:tcBorders>
              <w:top w:val="single" w:color="auto" w:sz="4" w:space="0"/>
            </w:tcBorders>
            <w:vAlign w:val="center"/>
          </w:tcPr>
          <w:p>
            <w:pPr>
              <w:spacing w:line="280" w:lineRule="exact"/>
              <w:jc w:val="center"/>
            </w:pPr>
            <w:r>
              <w:rPr>
                <w:rFonts w:hint="eastAsia"/>
              </w:rPr>
              <w:t>姓名</w:t>
            </w:r>
          </w:p>
        </w:tc>
        <w:tc>
          <w:tcPr>
            <w:tcW w:w="1260" w:type="dxa"/>
            <w:tcBorders>
              <w:top w:val="single" w:color="auto" w:sz="4" w:space="0"/>
            </w:tcBorders>
            <w:vAlign w:val="center"/>
          </w:tcPr>
          <w:p>
            <w:pPr>
              <w:spacing w:line="280" w:lineRule="exact"/>
              <w:jc w:val="center"/>
            </w:pPr>
          </w:p>
        </w:tc>
        <w:tc>
          <w:tcPr>
            <w:tcW w:w="1080" w:type="dxa"/>
            <w:tcBorders>
              <w:top w:val="single" w:color="auto" w:sz="4" w:space="0"/>
            </w:tcBorders>
            <w:vAlign w:val="center"/>
          </w:tcPr>
          <w:p>
            <w:pPr>
              <w:spacing w:line="280" w:lineRule="exact"/>
              <w:jc w:val="center"/>
            </w:pPr>
            <w:r>
              <w:rPr>
                <w:rFonts w:hint="eastAsia"/>
              </w:rPr>
              <w:t>技术职称</w:t>
            </w:r>
          </w:p>
        </w:tc>
        <w:tc>
          <w:tcPr>
            <w:tcW w:w="1620" w:type="dxa"/>
            <w:tcBorders>
              <w:top w:val="single" w:color="auto" w:sz="4" w:space="0"/>
            </w:tcBorders>
            <w:vAlign w:val="center"/>
          </w:tcPr>
          <w:p>
            <w:pPr>
              <w:spacing w:line="280" w:lineRule="exact"/>
              <w:jc w:val="center"/>
            </w:pPr>
          </w:p>
        </w:tc>
        <w:tc>
          <w:tcPr>
            <w:tcW w:w="1080" w:type="dxa"/>
            <w:tcBorders>
              <w:top w:val="single" w:color="auto" w:sz="4" w:space="0"/>
            </w:tcBorders>
            <w:vAlign w:val="center"/>
          </w:tcPr>
          <w:p>
            <w:pPr>
              <w:spacing w:line="280" w:lineRule="exact"/>
              <w:jc w:val="center"/>
            </w:pPr>
            <w:r>
              <w:rPr>
                <w:rFonts w:hint="eastAsia"/>
              </w:rPr>
              <w:t>电话</w:t>
            </w:r>
          </w:p>
        </w:tc>
        <w:tc>
          <w:tcPr>
            <w:tcW w:w="1440" w:type="dxa"/>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成立时间</w:t>
            </w:r>
          </w:p>
        </w:tc>
        <w:tc>
          <w:tcPr>
            <w:tcW w:w="2340" w:type="dxa"/>
            <w:gridSpan w:val="2"/>
            <w:tcBorders>
              <w:top w:val="single" w:color="auto" w:sz="4" w:space="0"/>
            </w:tcBorders>
            <w:vAlign w:val="center"/>
          </w:tcPr>
          <w:p>
            <w:pPr>
              <w:spacing w:line="280" w:lineRule="exact"/>
              <w:jc w:val="center"/>
            </w:pPr>
          </w:p>
        </w:tc>
        <w:tc>
          <w:tcPr>
            <w:tcW w:w="5220" w:type="dxa"/>
            <w:gridSpan w:val="4"/>
            <w:tcBorders>
              <w:top w:val="single" w:color="auto" w:sz="4" w:space="0"/>
            </w:tcBorders>
            <w:vAlign w:val="center"/>
          </w:tcPr>
          <w:p>
            <w:pPr>
              <w:spacing w:line="280" w:lineRule="exact"/>
              <w:jc w:val="center"/>
            </w:pPr>
            <w:r>
              <w:rPr>
                <w:rFonts w:hint="eastAsia"/>
              </w:rPr>
              <w:t>员工总人数：</w:t>
            </w:r>
            <w:r>
              <w:rPr>
                <w:rFonts w:hint="eastAsia"/>
                <w:u w:val="single"/>
              </w:rPr>
              <w:t xml:space="preserve">     </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企业资质等级</w:t>
            </w:r>
          </w:p>
        </w:tc>
        <w:tc>
          <w:tcPr>
            <w:tcW w:w="2340" w:type="dxa"/>
            <w:gridSpan w:val="2"/>
            <w:tcBorders>
              <w:top w:val="single" w:color="auto" w:sz="4" w:space="0"/>
            </w:tcBorders>
            <w:vAlign w:val="center"/>
          </w:tcPr>
          <w:p>
            <w:pPr>
              <w:spacing w:line="280" w:lineRule="exact"/>
              <w:jc w:val="center"/>
            </w:pPr>
          </w:p>
        </w:tc>
        <w:tc>
          <w:tcPr>
            <w:tcW w:w="1080" w:type="dxa"/>
            <w:vMerge w:val="restart"/>
            <w:tcBorders>
              <w:top w:val="single" w:color="auto" w:sz="4" w:space="0"/>
            </w:tcBorders>
            <w:vAlign w:val="center"/>
          </w:tcPr>
          <w:p>
            <w:pPr>
              <w:spacing w:line="280" w:lineRule="exact"/>
              <w:jc w:val="center"/>
            </w:pPr>
            <w:r>
              <w:rPr>
                <w:rFonts w:hint="eastAsia"/>
              </w:rPr>
              <w:t>其中</w:t>
            </w:r>
          </w:p>
        </w:tc>
        <w:tc>
          <w:tcPr>
            <w:tcW w:w="1620" w:type="dxa"/>
            <w:tcBorders>
              <w:top w:val="single" w:color="auto" w:sz="4" w:space="0"/>
            </w:tcBorders>
            <w:vAlign w:val="center"/>
          </w:tcPr>
          <w:p>
            <w:pPr>
              <w:spacing w:line="280" w:lineRule="exact"/>
              <w:jc w:val="center"/>
            </w:pPr>
            <w:r>
              <w:rPr>
                <w:rFonts w:hint="eastAsia"/>
              </w:rPr>
              <w:t>项目经理</w:t>
            </w:r>
          </w:p>
        </w:tc>
        <w:tc>
          <w:tcPr>
            <w:tcW w:w="2520" w:type="dxa"/>
            <w:gridSpan w:val="2"/>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0" w:type="dxa"/>
            <w:tcBorders>
              <w:bottom w:val="single" w:color="auto" w:sz="4" w:space="0"/>
            </w:tcBorders>
            <w:vAlign w:val="center"/>
          </w:tcPr>
          <w:p>
            <w:pPr>
              <w:spacing w:line="280" w:lineRule="exact"/>
              <w:jc w:val="center"/>
            </w:pPr>
            <w:r>
              <w:rPr>
                <w:rFonts w:hint="eastAsia"/>
              </w:rPr>
              <w:t>营业执照号</w:t>
            </w:r>
          </w:p>
        </w:tc>
        <w:tc>
          <w:tcPr>
            <w:tcW w:w="2340" w:type="dxa"/>
            <w:gridSpan w:val="2"/>
            <w:tcBorders>
              <w:top w:val="single" w:color="auto" w:sz="4" w:space="0"/>
            </w:tcBorders>
            <w:vAlign w:val="center"/>
          </w:tcPr>
          <w:p>
            <w:pPr>
              <w:spacing w:line="280" w:lineRule="exact"/>
              <w:jc w:val="center"/>
            </w:pPr>
          </w:p>
        </w:tc>
        <w:tc>
          <w:tcPr>
            <w:tcW w:w="1080" w:type="dxa"/>
            <w:vMerge w:val="continue"/>
            <w:vAlign w:val="center"/>
          </w:tcPr>
          <w:p>
            <w:pPr>
              <w:spacing w:line="280" w:lineRule="exact"/>
              <w:jc w:val="center"/>
            </w:pPr>
          </w:p>
        </w:tc>
        <w:tc>
          <w:tcPr>
            <w:tcW w:w="1620" w:type="dxa"/>
            <w:tcBorders>
              <w:top w:val="single" w:color="auto" w:sz="4" w:space="0"/>
            </w:tcBorders>
            <w:vAlign w:val="center"/>
          </w:tcPr>
          <w:p>
            <w:pPr>
              <w:spacing w:line="280" w:lineRule="exact"/>
              <w:jc w:val="center"/>
            </w:pPr>
            <w:r>
              <w:rPr>
                <w:rFonts w:hint="eastAsia"/>
              </w:rPr>
              <w:t>高级职称人员</w:t>
            </w:r>
          </w:p>
        </w:tc>
        <w:tc>
          <w:tcPr>
            <w:tcW w:w="2520" w:type="dxa"/>
            <w:gridSpan w:val="2"/>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注册资金</w:t>
            </w:r>
          </w:p>
        </w:tc>
        <w:tc>
          <w:tcPr>
            <w:tcW w:w="2340" w:type="dxa"/>
            <w:gridSpan w:val="2"/>
            <w:tcBorders>
              <w:top w:val="single" w:color="auto" w:sz="4" w:space="0"/>
            </w:tcBorders>
            <w:vAlign w:val="center"/>
          </w:tcPr>
          <w:p>
            <w:pPr>
              <w:spacing w:line="280" w:lineRule="exact"/>
              <w:jc w:val="center"/>
            </w:pPr>
          </w:p>
        </w:tc>
        <w:tc>
          <w:tcPr>
            <w:tcW w:w="1080" w:type="dxa"/>
            <w:vMerge w:val="continue"/>
            <w:vAlign w:val="center"/>
          </w:tcPr>
          <w:p>
            <w:pPr>
              <w:spacing w:line="280" w:lineRule="exact"/>
              <w:jc w:val="center"/>
            </w:pPr>
          </w:p>
        </w:tc>
        <w:tc>
          <w:tcPr>
            <w:tcW w:w="1620" w:type="dxa"/>
            <w:tcBorders>
              <w:top w:val="single" w:color="auto" w:sz="4" w:space="0"/>
            </w:tcBorders>
            <w:vAlign w:val="center"/>
          </w:tcPr>
          <w:p>
            <w:pPr>
              <w:spacing w:line="280" w:lineRule="exact"/>
              <w:jc w:val="center"/>
            </w:pPr>
            <w:r>
              <w:rPr>
                <w:rFonts w:hint="eastAsia"/>
              </w:rPr>
              <w:t>中级职称人员</w:t>
            </w:r>
          </w:p>
        </w:tc>
        <w:tc>
          <w:tcPr>
            <w:tcW w:w="2520" w:type="dxa"/>
            <w:gridSpan w:val="2"/>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pPr>
              <w:spacing w:line="280" w:lineRule="exact"/>
              <w:jc w:val="center"/>
            </w:pPr>
            <w:r>
              <w:rPr>
                <w:rFonts w:hint="eastAsia"/>
              </w:rPr>
              <w:t>开户银行</w:t>
            </w:r>
          </w:p>
        </w:tc>
        <w:tc>
          <w:tcPr>
            <w:tcW w:w="2340" w:type="dxa"/>
            <w:gridSpan w:val="2"/>
            <w:tcBorders>
              <w:top w:val="single" w:color="auto" w:sz="4" w:space="0"/>
            </w:tcBorders>
            <w:vAlign w:val="center"/>
          </w:tcPr>
          <w:p>
            <w:pPr>
              <w:spacing w:line="280" w:lineRule="exact"/>
              <w:jc w:val="center"/>
            </w:pPr>
          </w:p>
        </w:tc>
        <w:tc>
          <w:tcPr>
            <w:tcW w:w="1080" w:type="dxa"/>
            <w:vMerge w:val="continue"/>
            <w:vAlign w:val="center"/>
          </w:tcPr>
          <w:p>
            <w:pPr>
              <w:spacing w:line="280" w:lineRule="exact"/>
              <w:jc w:val="center"/>
            </w:pPr>
          </w:p>
        </w:tc>
        <w:tc>
          <w:tcPr>
            <w:tcW w:w="1620" w:type="dxa"/>
            <w:tcBorders>
              <w:top w:val="single" w:color="auto" w:sz="4" w:space="0"/>
            </w:tcBorders>
            <w:vAlign w:val="center"/>
          </w:tcPr>
          <w:p>
            <w:pPr>
              <w:spacing w:line="280" w:lineRule="exact"/>
              <w:jc w:val="center"/>
            </w:pPr>
            <w:r>
              <w:rPr>
                <w:rFonts w:hint="eastAsia"/>
              </w:rPr>
              <w:t>初级职称人员</w:t>
            </w:r>
          </w:p>
        </w:tc>
        <w:tc>
          <w:tcPr>
            <w:tcW w:w="2520" w:type="dxa"/>
            <w:gridSpan w:val="2"/>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0" w:type="dxa"/>
            <w:tcBorders>
              <w:bottom w:val="single" w:color="auto" w:sz="4" w:space="0"/>
            </w:tcBorders>
            <w:vAlign w:val="center"/>
          </w:tcPr>
          <w:p>
            <w:pPr>
              <w:spacing w:line="280" w:lineRule="exact"/>
              <w:jc w:val="center"/>
            </w:pPr>
            <w:r>
              <w:rPr>
                <w:rFonts w:hint="eastAsia"/>
              </w:rPr>
              <w:t>开户账号</w:t>
            </w:r>
          </w:p>
        </w:tc>
        <w:tc>
          <w:tcPr>
            <w:tcW w:w="2340" w:type="dxa"/>
            <w:gridSpan w:val="2"/>
            <w:tcBorders>
              <w:top w:val="single" w:color="auto" w:sz="4" w:space="0"/>
            </w:tcBorders>
            <w:vAlign w:val="center"/>
          </w:tcPr>
          <w:p>
            <w:pPr>
              <w:spacing w:line="280" w:lineRule="exact"/>
              <w:jc w:val="center"/>
            </w:pPr>
          </w:p>
        </w:tc>
        <w:tc>
          <w:tcPr>
            <w:tcW w:w="1080" w:type="dxa"/>
            <w:vMerge w:val="continue"/>
            <w:vAlign w:val="center"/>
          </w:tcPr>
          <w:p>
            <w:pPr>
              <w:spacing w:line="280" w:lineRule="exact"/>
              <w:jc w:val="center"/>
            </w:pPr>
          </w:p>
        </w:tc>
        <w:tc>
          <w:tcPr>
            <w:tcW w:w="1620" w:type="dxa"/>
            <w:tcBorders>
              <w:top w:val="single" w:color="auto" w:sz="4" w:space="0"/>
            </w:tcBorders>
            <w:vAlign w:val="center"/>
          </w:tcPr>
          <w:p>
            <w:pPr>
              <w:spacing w:line="280" w:lineRule="exact"/>
              <w:jc w:val="center"/>
            </w:pPr>
            <w:r>
              <w:rPr>
                <w:rFonts w:hint="eastAsia"/>
              </w:rPr>
              <w:t>技工</w:t>
            </w:r>
          </w:p>
        </w:tc>
        <w:tc>
          <w:tcPr>
            <w:tcW w:w="2520" w:type="dxa"/>
            <w:gridSpan w:val="2"/>
            <w:tcBorders>
              <w:top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3" w:hRule="atLeast"/>
          <w:jc w:val="center"/>
        </w:trPr>
        <w:tc>
          <w:tcPr>
            <w:tcW w:w="1800" w:type="dxa"/>
            <w:vAlign w:val="center"/>
          </w:tcPr>
          <w:p>
            <w:pPr>
              <w:spacing w:line="280" w:lineRule="exact"/>
              <w:jc w:val="center"/>
            </w:pPr>
            <w:r>
              <w:rPr>
                <w:rFonts w:hint="eastAsia"/>
              </w:rPr>
              <w:t>经营范围</w:t>
            </w:r>
          </w:p>
        </w:tc>
        <w:tc>
          <w:tcPr>
            <w:tcW w:w="7560" w:type="dxa"/>
            <w:gridSpan w:val="6"/>
            <w:tcBorders>
              <w:top w:val="single" w:color="auto" w:sz="4" w:space="0"/>
              <w:bottom w:val="single" w:color="auto" w:sz="4" w:space="0"/>
            </w:tcBorders>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800" w:type="dxa"/>
            <w:tcBorders>
              <w:bottom w:val="single" w:color="auto" w:sz="4" w:space="0"/>
            </w:tcBorders>
            <w:vAlign w:val="center"/>
          </w:tcPr>
          <w:p>
            <w:pPr>
              <w:spacing w:line="280" w:lineRule="exact"/>
              <w:jc w:val="center"/>
            </w:pPr>
            <w:r>
              <w:rPr>
                <w:rFonts w:hint="eastAsia"/>
              </w:rPr>
              <w:t>备注</w:t>
            </w:r>
          </w:p>
        </w:tc>
        <w:tc>
          <w:tcPr>
            <w:tcW w:w="7560" w:type="dxa"/>
            <w:gridSpan w:val="6"/>
            <w:tcBorders>
              <w:top w:val="single" w:color="auto" w:sz="4" w:space="0"/>
            </w:tcBorders>
            <w:vAlign w:val="center"/>
          </w:tcPr>
          <w:p>
            <w:pPr>
              <w:spacing w:line="280" w:lineRule="exact"/>
              <w:jc w:val="center"/>
            </w:pPr>
          </w:p>
        </w:tc>
      </w:tr>
    </w:tbl>
    <w:p>
      <w:pPr>
        <w:spacing w:line="600" w:lineRule="exact"/>
        <w:rPr>
          <w:sz w:val="24"/>
        </w:rPr>
      </w:pPr>
      <w:r>
        <w:rPr>
          <w:rFonts w:hint="eastAsia"/>
          <w:sz w:val="24"/>
        </w:rPr>
        <w:t>投标人：（盖章）</w:t>
      </w:r>
    </w:p>
    <w:p>
      <w:pPr>
        <w:spacing w:line="600" w:lineRule="exact"/>
        <w:rPr>
          <w:sz w:val="24"/>
        </w:rPr>
      </w:pPr>
      <w:r>
        <w:rPr>
          <w:rFonts w:hint="eastAsia"/>
          <w:sz w:val="24"/>
        </w:rPr>
        <w:t>法定代表人（或委托代理人）：（签字）</w:t>
      </w:r>
    </w:p>
    <w:p>
      <w:pPr>
        <w:spacing w:line="600" w:lineRule="exact"/>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240" w:lineRule="exact"/>
        <w:rPr>
          <w:rFonts w:eastAsia="黑体"/>
          <w:b/>
          <w:bCs/>
        </w:rPr>
      </w:pPr>
    </w:p>
    <w:p>
      <w:pPr>
        <w:spacing w:line="400" w:lineRule="exact"/>
        <w:rPr>
          <w:b/>
          <w:u w:val="single"/>
        </w:rPr>
      </w:pPr>
      <w:r>
        <w:rPr>
          <w:rFonts w:hint="eastAsia" w:eastAsia="黑体"/>
          <w:b/>
          <w:bCs/>
        </w:rPr>
        <w:t>注</w:t>
      </w:r>
      <w:r>
        <w:rPr>
          <w:rFonts w:hint="eastAsia"/>
        </w:rPr>
        <w:t>：</w:t>
      </w:r>
      <w:r>
        <w:rPr>
          <w:rFonts w:hint="eastAsia"/>
          <w:b/>
          <w:u w:val="single"/>
        </w:rPr>
        <w:t>本表应附带投标人营业执照副本及其年检合格的证明材料、</w:t>
      </w:r>
      <w:r>
        <w:rPr>
          <w:rFonts w:hint="eastAsia" w:cs="楷体_GB2312"/>
          <w:b/>
          <w:bCs/>
          <w:kern w:val="0"/>
          <w:u w:val="single"/>
          <w:lang w:val="zh-CN"/>
        </w:rPr>
        <w:t>组织机构代码证、税务登记证、</w:t>
      </w:r>
      <w:r>
        <w:rPr>
          <w:rFonts w:hint="eastAsia"/>
          <w:b/>
          <w:u w:val="single"/>
        </w:rPr>
        <w:t>质量体系认证证书（如有）等材料的复印件（加盖单位公章）。</w:t>
      </w:r>
    </w:p>
    <w:p>
      <w:pPr>
        <w:pStyle w:val="31"/>
        <w:spacing w:after="0" w:line="560" w:lineRule="exact"/>
        <w:rPr>
          <w:rFonts w:ascii="Times New Roman" w:hAnsi="Times New Roman"/>
        </w:rPr>
        <w:sectPr>
          <w:pgSz w:w="11907" w:h="16840"/>
          <w:pgMar w:top="1702" w:right="1418" w:bottom="1418" w:left="1418" w:header="851" w:footer="822" w:gutter="0"/>
          <w:cols w:space="720" w:num="1"/>
          <w:docGrid w:linePitch="290" w:charSpace="-3931"/>
        </w:sectPr>
      </w:pPr>
    </w:p>
    <w:p>
      <w:pPr>
        <w:pStyle w:val="5"/>
        <w:numPr>
          <w:ilvl w:val="0"/>
          <w:numId w:val="0"/>
        </w:numPr>
        <w:spacing w:before="120" w:after="120" w:line="560" w:lineRule="exact"/>
        <w:rPr>
          <w:rFonts w:cs="宋体"/>
          <w:bCs w:val="0"/>
          <w:sz w:val="24"/>
          <w:szCs w:val="24"/>
        </w:rPr>
      </w:pPr>
      <w:bookmarkStart w:id="408" w:name="_Toc30793"/>
      <w:bookmarkStart w:id="409" w:name="_Toc51786905"/>
      <w:bookmarkStart w:id="410" w:name="_Toc28600"/>
      <w:bookmarkStart w:id="411" w:name="_Toc453709583"/>
      <w:bookmarkStart w:id="412" w:name="_Toc49503566"/>
      <w:r>
        <w:rPr>
          <w:rFonts w:hint="eastAsia" w:cs="宋体"/>
          <w:bCs w:val="0"/>
          <w:sz w:val="24"/>
          <w:szCs w:val="24"/>
        </w:rPr>
        <w:t>附件四：报价一览表</w:t>
      </w:r>
      <w:bookmarkEnd w:id="408"/>
      <w:bookmarkEnd w:id="409"/>
      <w:bookmarkEnd w:id="410"/>
      <w:bookmarkEnd w:id="411"/>
      <w:bookmarkEnd w:id="412"/>
    </w:p>
    <w:p>
      <w:pPr>
        <w:pStyle w:val="31"/>
        <w:spacing w:after="0" w:line="460" w:lineRule="exact"/>
        <w:jc w:val="center"/>
        <w:rPr>
          <w:rFonts w:ascii="Times New Roman" w:hAnsi="Times New Roman" w:cs="宋体"/>
          <w:b/>
          <w:bCs/>
          <w:sz w:val="32"/>
          <w:szCs w:val="32"/>
        </w:rPr>
      </w:pPr>
      <w:bookmarkStart w:id="413" w:name="_Toc49503567"/>
      <w:bookmarkStart w:id="414" w:name="_Toc51786775"/>
      <w:bookmarkStart w:id="415" w:name="_Toc15270"/>
      <w:bookmarkStart w:id="416" w:name="_Toc49503651"/>
      <w:bookmarkStart w:id="417" w:name="_Toc11485"/>
      <w:bookmarkStart w:id="418" w:name="_Toc51786906"/>
      <w:bookmarkStart w:id="419" w:name="_Toc10773"/>
      <w:bookmarkStart w:id="420" w:name="_Toc518655808"/>
      <w:bookmarkStart w:id="421" w:name="_Toc424118185"/>
      <w:bookmarkStart w:id="422" w:name="_Toc353881016"/>
      <w:bookmarkStart w:id="423" w:name="_Toc18551"/>
      <w:r>
        <w:rPr>
          <w:rFonts w:hint="eastAsia" w:ascii="Times New Roman" w:hAnsi="Times New Roman" w:cs="宋体"/>
          <w:b/>
          <w:bCs/>
          <w:sz w:val="32"/>
          <w:szCs w:val="32"/>
        </w:rPr>
        <w:t>报价一览表</w:t>
      </w:r>
      <w:bookmarkEnd w:id="413"/>
      <w:bookmarkEnd w:id="414"/>
      <w:bookmarkEnd w:id="415"/>
      <w:bookmarkEnd w:id="416"/>
      <w:bookmarkEnd w:id="417"/>
      <w:bookmarkEnd w:id="418"/>
    </w:p>
    <w:p>
      <w:pPr>
        <w:spacing w:line="520" w:lineRule="exact"/>
        <w:rPr>
          <w:u w:val="single"/>
        </w:rPr>
      </w:pPr>
      <w:r>
        <w:rPr>
          <w:rFonts w:hint="eastAsia"/>
        </w:rPr>
        <w:t>项目名称：</w:t>
      </w:r>
      <w:r>
        <w:rPr>
          <w:rFonts w:hint="eastAsia"/>
          <w:u w:val="single"/>
        </w:rPr>
        <w:t xml:space="preserve">                           </w:t>
      </w:r>
      <w:r>
        <w:rPr>
          <w:rFonts w:hint="eastAsia"/>
        </w:rPr>
        <w:t xml:space="preserve">                           项目编号：</w:t>
      </w:r>
      <w:r>
        <w:rPr>
          <w:rFonts w:hint="eastAsia"/>
          <w:u w:val="single"/>
        </w:rPr>
        <w:t xml:space="preserve">              </w:t>
      </w:r>
    </w:p>
    <w:tbl>
      <w:tblPr>
        <w:tblStyle w:val="77"/>
        <w:tblW w:w="0" w:type="auto"/>
        <w:jc w:val="center"/>
        <w:tblLayout w:type="fixed"/>
        <w:tblCellMar>
          <w:top w:w="0" w:type="dxa"/>
          <w:left w:w="108" w:type="dxa"/>
          <w:bottom w:w="0" w:type="dxa"/>
          <w:right w:w="108" w:type="dxa"/>
        </w:tblCellMar>
      </w:tblPr>
      <w:tblGrid>
        <w:gridCol w:w="1859"/>
        <w:gridCol w:w="7477"/>
      </w:tblGrid>
      <w:tr>
        <w:tblPrEx>
          <w:tblCellMar>
            <w:top w:w="0" w:type="dxa"/>
            <w:left w:w="108" w:type="dxa"/>
            <w:bottom w:w="0" w:type="dxa"/>
            <w:right w:w="108" w:type="dxa"/>
          </w:tblCellMar>
        </w:tblPrEx>
        <w:trPr>
          <w:trHeight w:val="872" w:hRule="exact"/>
          <w:jc w:val="center"/>
        </w:trPr>
        <w:tc>
          <w:tcPr>
            <w:tcW w:w="185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cs="楷体_GB2312"/>
                <w:b/>
                <w:bCs/>
                <w:sz w:val="24"/>
                <w:lang w:val="zh-CN"/>
              </w:rPr>
            </w:pPr>
            <w:r>
              <w:rPr>
                <w:rFonts w:hint="eastAsia" w:cs="楷体_GB2312"/>
                <w:b/>
                <w:bCs/>
                <w:sz w:val="24"/>
                <w:lang w:val="zh-CN"/>
              </w:rPr>
              <w:t>投标人名称</w:t>
            </w:r>
          </w:p>
        </w:tc>
        <w:tc>
          <w:tcPr>
            <w:tcW w:w="747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rPr>
                <w:rFonts w:cs="楷体_GB2312"/>
                <w:bCs/>
                <w:sz w:val="24"/>
                <w:lang w:val="zh-CN"/>
              </w:rPr>
            </w:pPr>
          </w:p>
        </w:tc>
      </w:tr>
      <w:tr>
        <w:tblPrEx>
          <w:tblCellMar>
            <w:top w:w="0" w:type="dxa"/>
            <w:left w:w="108" w:type="dxa"/>
            <w:bottom w:w="0" w:type="dxa"/>
            <w:right w:w="108" w:type="dxa"/>
          </w:tblCellMar>
        </w:tblPrEx>
        <w:trPr>
          <w:trHeight w:val="1514"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60" w:lineRule="exact"/>
              <w:jc w:val="center"/>
              <w:rPr>
                <w:rFonts w:cs="楷体_GB2312"/>
                <w:b/>
                <w:sz w:val="24"/>
                <w:lang w:val="zh-CN"/>
              </w:rPr>
            </w:pPr>
            <w:r>
              <w:rPr>
                <w:rFonts w:hint="eastAsia" w:cs="楷体_GB2312"/>
                <w:b/>
                <w:sz w:val="24"/>
                <w:lang w:val="zh-CN"/>
              </w:rPr>
              <w:t>总报价</w:t>
            </w:r>
          </w:p>
        </w:tc>
        <w:tc>
          <w:tcPr>
            <w:tcW w:w="747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rPr>
                <w:rFonts w:cs="楷体_GB2312"/>
                <w:bCs/>
                <w:sz w:val="24"/>
                <w:lang w:val="zh-CN"/>
              </w:rPr>
            </w:pPr>
            <w:r>
              <w:rPr>
                <w:rFonts w:hint="eastAsia" w:cs="楷体_GB2312"/>
                <w:sz w:val="24"/>
              </w:rPr>
              <w:t>人民币：</w:t>
            </w:r>
            <w:r>
              <w:rPr>
                <w:rFonts w:hint="eastAsia" w:cs="楷体_GB2312"/>
                <w:sz w:val="24"/>
                <w:u w:val="single"/>
              </w:rPr>
              <w:t xml:space="preserve">         </w:t>
            </w:r>
            <w:r>
              <w:rPr>
                <w:rFonts w:hint="eastAsia" w:cs="楷体_GB2312"/>
                <w:sz w:val="24"/>
              </w:rPr>
              <w:t>元（大写</w:t>
            </w:r>
            <w:r>
              <w:rPr>
                <w:rFonts w:hint="eastAsia" w:cs="楷体_GB2312"/>
                <w:sz w:val="24"/>
                <w:u w:val="single"/>
              </w:rPr>
              <w:t xml:space="preserve">       </w:t>
            </w:r>
            <w:r>
              <w:rPr>
                <w:rFonts w:hint="eastAsia" w:cs="楷体_GB2312"/>
                <w:sz w:val="24"/>
              </w:rPr>
              <w:t>元），税率：13%</w:t>
            </w:r>
          </w:p>
        </w:tc>
      </w:tr>
      <w:tr>
        <w:tblPrEx>
          <w:tblCellMar>
            <w:top w:w="0" w:type="dxa"/>
            <w:left w:w="108" w:type="dxa"/>
            <w:bottom w:w="0" w:type="dxa"/>
            <w:right w:w="108" w:type="dxa"/>
          </w:tblCellMar>
        </w:tblPrEx>
        <w:trPr>
          <w:trHeight w:val="672"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cs="宋体"/>
                <w:b/>
                <w:bCs/>
                <w:sz w:val="24"/>
                <w:lang w:val="zh-CN"/>
              </w:rPr>
            </w:pPr>
            <w:r>
              <w:rPr>
                <w:rFonts w:hint="eastAsia" w:cs="宋体"/>
                <w:b/>
                <w:bCs/>
                <w:sz w:val="24"/>
                <w:lang w:val="zh-CN"/>
              </w:rPr>
              <w:t>项目负责人</w:t>
            </w:r>
          </w:p>
        </w:tc>
        <w:tc>
          <w:tcPr>
            <w:tcW w:w="747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exact"/>
              <w:rPr>
                <w:rFonts w:cs="楷体_GB2312"/>
                <w:sz w:val="24"/>
                <w:lang w:val="zh-CN"/>
              </w:rPr>
            </w:pPr>
          </w:p>
        </w:tc>
      </w:tr>
      <w:tr>
        <w:tblPrEx>
          <w:tblCellMar>
            <w:top w:w="0" w:type="dxa"/>
            <w:left w:w="108" w:type="dxa"/>
            <w:bottom w:w="0" w:type="dxa"/>
            <w:right w:w="108" w:type="dxa"/>
          </w:tblCellMar>
        </w:tblPrEx>
        <w:trPr>
          <w:trHeight w:val="954"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jc w:val="center"/>
              <w:rPr>
                <w:b/>
                <w:bCs/>
                <w:sz w:val="24"/>
              </w:rPr>
            </w:pPr>
            <w:r>
              <w:rPr>
                <w:rFonts w:hint="eastAsia"/>
                <w:b/>
                <w:bCs/>
                <w:sz w:val="24"/>
              </w:rPr>
              <w:t>交货期及</w:t>
            </w:r>
          </w:p>
          <w:p>
            <w:pPr>
              <w:jc w:val="center"/>
              <w:rPr>
                <w:b/>
                <w:bCs/>
                <w:sz w:val="24"/>
              </w:rPr>
            </w:pPr>
            <w:r>
              <w:rPr>
                <w:rFonts w:hint="eastAsia"/>
                <w:b/>
                <w:bCs/>
                <w:sz w:val="24"/>
              </w:rPr>
              <w:t>安装期</w:t>
            </w:r>
          </w:p>
        </w:tc>
        <w:tc>
          <w:tcPr>
            <w:tcW w:w="7477" w:type="dxa"/>
            <w:tcBorders>
              <w:top w:val="single" w:color="auto" w:sz="6" w:space="0"/>
              <w:left w:val="single" w:color="auto" w:sz="4" w:space="0"/>
              <w:bottom w:val="single" w:color="auto" w:sz="6" w:space="0"/>
              <w:right w:val="single" w:color="auto" w:sz="6" w:space="0"/>
            </w:tcBorders>
            <w:vAlign w:val="center"/>
          </w:tcPr>
          <w:p>
            <w:pPr>
              <w:rPr>
                <w:bCs/>
                <w:sz w:val="24"/>
              </w:rPr>
            </w:pPr>
          </w:p>
        </w:tc>
      </w:tr>
      <w:tr>
        <w:tblPrEx>
          <w:tblCellMar>
            <w:top w:w="0" w:type="dxa"/>
            <w:left w:w="108" w:type="dxa"/>
            <w:bottom w:w="0" w:type="dxa"/>
            <w:right w:w="108" w:type="dxa"/>
          </w:tblCellMar>
        </w:tblPrEx>
        <w:trPr>
          <w:trHeight w:val="955"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jc w:val="center"/>
              <w:rPr>
                <w:b/>
                <w:bCs/>
                <w:sz w:val="24"/>
              </w:rPr>
            </w:pPr>
            <w:r>
              <w:rPr>
                <w:rFonts w:hint="eastAsia"/>
                <w:b/>
                <w:bCs/>
                <w:sz w:val="24"/>
              </w:rPr>
              <w:t>质 保 期</w:t>
            </w:r>
          </w:p>
        </w:tc>
        <w:tc>
          <w:tcPr>
            <w:tcW w:w="7477" w:type="dxa"/>
            <w:tcBorders>
              <w:top w:val="single" w:color="auto" w:sz="6" w:space="0"/>
              <w:left w:val="single" w:color="auto" w:sz="4" w:space="0"/>
              <w:bottom w:val="single" w:color="auto" w:sz="6" w:space="0"/>
              <w:right w:val="single" w:color="auto" w:sz="6" w:space="0"/>
            </w:tcBorders>
            <w:vAlign w:val="center"/>
          </w:tcPr>
          <w:p>
            <w:pPr>
              <w:spacing w:line="500" w:lineRule="exact"/>
              <w:jc w:val="left"/>
              <w:rPr>
                <w:sz w:val="24"/>
              </w:rPr>
            </w:pPr>
          </w:p>
        </w:tc>
      </w:tr>
      <w:tr>
        <w:tblPrEx>
          <w:tblCellMar>
            <w:top w:w="0" w:type="dxa"/>
            <w:left w:w="108" w:type="dxa"/>
            <w:bottom w:w="0" w:type="dxa"/>
            <w:right w:w="108" w:type="dxa"/>
          </w:tblCellMar>
        </w:tblPrEx>
        <w:trPr>
          <w:trHeight w:val="954" w:hRule="atLeast"/>
          <w:jc w:val="center"/>
        </w:trPr>
        <w:tc>
          <w:tcPr>
            <w:tcW w:w="1859" w:type="dxa"/>
            <w:tcBorders>
              <w:top w:val="single" w:color="auto" w:sz="6" w:space="0"/>
              <w:left w:val="single" w:color="auto" w:sz="6" w:space="0"/>
              <w:bottom w:val="single" w:color="auto" w:sz="4" w:space="0"/>
              <w:right w:val="single" w:color="auto" w:sz="4" w:space="0"/>
            </w:tcBorders>
            <w:vAlign w:val="center"/>
          </w:tcPr>
          <w:p>
            <w:pPr>
              <w:jc w:val="center"/>
              <w:rPr>
                <w:b/>
                <w:bCs/>
                <w:sz w:val="24"/>
              </w:rPr>
            </w:pPr>
            <w:r>
              <w:rPr>
                <w:rFonts w:hint="eastAsia"/>
                <w:b/>
                <w:bCs/>
                <w:sz w:val="24"/>
              </w:rPr>
              <w:t>合理化建议及优惠条件</w:t>
            </w:r>
          </w:p>
        </w:tc>
        <w:tc>
          <w:tcPr>
            <w:tcW w:w="7477" w:type="dxa"/>
            <w:tcBorders>
              <w:top w:val="single" w:color="auto" w:sz="6" w:space="0"/>
              <w:left w:val="single" w:color="auto" w:sz="4" w:space="0"/>
              <w:bottom w:val="single" w:color="auto" w:sz="4" w:space="0"/>
              <w:right w:val="single" w:color="auto" w:sz="6" w:space="0"/>
            </w:tcBorders>
            <w:vAlign w:val="center"/>
          </w:tcPr>
          <w:p>
            <w:pPr>
              <w:rPr>
                <w:bCs/>
                <w:sz w:val="24"/>
              </w:rPr>
            </w:pPr>
          </w:p>
        </w:tc>
      </w:tr>
      <w:tr>
        <w:tblPrEx>
          <w:tblCellMar>
            <w:top w:w="0" w:type="dxa"/>
            <w:left w:w="108" w:type="dxa"/>
            <w:bottom w:w="0" w:type="dxa"/>
            <w:right w:w="108" w:type="dxa"/>
          </w:tblCellMar>
        </w:tblPrEx>
        <w:trPr>
          <w:trHeight w:val="955" w:hRule="atLeast"/>
          <w:jc w:val="center"/>
        </w:trPr>
        <w:tc>
          <w:tcPr>
            <w:tcW w:w="1859" w:type="dxa"/>
            <w:tcBorders>
              <w:top w:val="single" w:color="auto" w:sz="4" w:space="0"/>
              <w:left w:val="single" w:color="auto" w:sz="6" w:space="0"/>
              <w:bottom w:val="single" w:color="auto" w:sz="6" w:space="0"/>
              <w:right w:val="single" w:color="auto" w:sz="4" w:space="0"/>
            </w:tcBorders>
            <w:vAlign w:val="center"/>
          </w:tcPr>
          <w:p>
            <w:pPr>
              <w:jc w:val="center"/>
              <w:rPr>
                <w:b/>
                <w:bCs/>
                <w:sz w:val="24"/>
              </w:rPr>
            </w:pPr>
            <w:r>
              <w:rPr>
                <w:rFonts w:hint="eastAsia"/>
                <w:b/>
                <w:bCs/>
                <w:sz w:val="24"/>
              </w:rPr>
              <w:t>服务承诺</w:t>
            </w:r>
          </w:p>
        </w:tc>
        <w:tc>
          <w:tcPr>
            <w:tcW w:w="7477" w:type="dxa"/>
            <w:tcBorders>
              <w:top w:val="single" w:color="auto" w:sz="4" w:space="0"/>
              <w:left w:val="single" w:color="auto" w:sz="4" w:space="0"/>
              <w:bottom w:val="single" w:color="auto" w:sz="6" w:space="0"/>
              <w:right w:val="single" w:color="auto" w:sz="6" w:space="0"/>
            </w:tcBorders>
            <w:vAlign w:val="center"/>
          </w:tcPr>
          <w:p>
            <w:pPr>
              <w:rPr>
                <w:bCs/>
                <w:sz w:val="24"/>
              </w:rPr>
            </w:pPr>
          </w:p>
        </w:tc>
      </w:tr>
      <w:tr>
        <w:tblPrEx>
          <w:tblCellMar>
            <w:top w:w="0" w:type="dxa"/>
            <w:left w:w="108" w:type="dxa"/>
            <w:bottom w:w="0" w:type="dxa"/>
            <w:right w:w="108" w:type="dxa"/>
          </w:tblCellMar>
        </w:tblPrEx>
        <w:trPr>
          <w:trHeight w:val="954"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jc w:val="center"/>
              <w:rPr>
                <w:b/>
                <w:bCs/>
                <w:sz w:val="24"/>
              </w:rPr>
            </w:pPr>
            <w:r>
              <w:rPr>
                <w:rFonts w:hint="eastAsia"/>
                <w:b/>
                <w:bCs/>
                <w:sz w:val="24"/>
              </w:rPr>
              <w:t>对招标文件的</w:t>
            </w:r>
          </w:p>
          <w:p>
            <w:pPr>
              <w:jc w:val="center"/>
              <w:rPr>
                <w:b/>
                <w:bCs/>
                <w:sz w:val="24"/>
              </w:rPr>
            </w:pPr>
            <w:r>
              <w:rPr>
                <w:rFonts w:hint="eastAsia"/>
                <w:b/>
                <w:bCs/>
                <w:sz w:val="24"/>
              </w:rPr>
              <w:t>响应程度</w:t>
            </w:r>
          </w:p>
        </w:tc>
        <w:tc>
          <w:tcPr>
            <w:tcW w:w="7477" w:type="dxa"/>
            <w:tcBorders>
              <w:top w:val="single" w:color="auto" w:sz="6" w:space="0"/>
              <w:left w:val="single" w:color="auto" w:sz="4" w:space="0"/>
              <w:bottom w:val="single" w:color="auto" w:sz="6" w:space="0"/>
              <w:right w:val="single" w:color="auto" w:sz="6" w:space="0"/>
            </w:tcBorders>
            <w:vAlign w:val="center"/>
          </w:tcPr>
          <w:p>
            <w:pPr>
              <w:rPr>
                <w:bCs/>
                <w:sz w:val="24"/>
              </w:rPr>
            </w:pPr>
            <w:r>
              <w:rPr>
                <w:rFonts w:hint="eastAsia"/>
                <w:bCs/>
                <w:sz w:val="24"/>
              </w:rPr>
              <w:t>完全认同</w:t>
            </w:r>
          </w:p>
        </w:tc>
      </w:tr>
      <w:tr>
        <w:tblPrEx>
          <w:tblCellMar>
            <w:top w:w="0" w:type="dxa"/>
            <w:left w:w="108" w:type="dxa"/>
            <w:bottom w:w="0" w:type="dxa"/>
            <w:right w:w="108" w:type="dxa"/>
          </w:tblCellMar>
        </w:tblPrEx>
        <w:trPr>
          <w:trHeight w:val="648"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pPr>
              <w:jc w:val="center"/>
              <w:rPr>
                <w:b/>
                <w:bCs/>
                <w:sz w:val="24"/>
              </w:rPr>
            </w:pPr>
            <w:r>
              <w:rPr>
                <w:rFonts w:hint="eastAsia"/>
                <w:b/>
                <w:bCs/>
                <w:sz w:val="24"/>
              </w:rPr>
              <w:t>投标人现场</w:t>
            </w:r>
          </w:p>
          <w:p>
            <w:pPr>
              <w:jc w:val="center"/>
              <w:rPr>
                <w:b/>
                <w:bCs/>
                <w:sz w:val="24"/>
              </w:rPr>
            </w:pPr>
            <w:r>
              <w:rPr>
                <w:rFonts w:hint="eastAsia"/>
                <w:b/>
                <w:bCs/>
                <w:sz w:val="24"/>
              </w:rPr>
              <w:t>签字确认</w:t>
            </w:r>
          </w:p>
        </w:tc>
        <w:tc>
          <w:tcPr>
            <w:tcW w:w="7477" w:type="dxa"/>
            <w:tcBorders>
              <w:top w:val="single" w:color="auto" w:sz="6" w:space="0"/>
              <w:left w:val="single" w:color="auto" w:sz="4" w:space="0"/>
              <w:bottom w:val="single" w:color="auto" w:sz="6" w:space="0"/>
              <w:right w:val="single" w:color="auto" w:sz="6" w:space="0"/>
            </w:tcBorders>
            <w:vAlign w:val="center"/>
          </w:tcPr>
          <w:p>
            <w:pPr>
              <w:rPr>
                <w:bCs/>
                <w:sz w:val="24"/>
              </w:rPr>
            </w:pPr>
          </w:p>
        </w:tc>
      </w:tr>
    </w:tbl>
    <w:p>
      <w:pPr>
        <w:autoSpaceDE w:val="0"/>
        <w:autoSpaceDN w:val="0"/>
        <w:adjustRightInd w:val="0"/>
        <w:spacing w:line="100" w:lineRule="exact"/>
        <w:rPr>
          <w:rFonts w:cs="楷体_GB2312"/>
          <w:sz w:val="24"/>
          <w:lang w:val="zh-CN"/>
        </w:rPr>
      </w:pPr>
    </w:p>
    <w:p>
      <w:pPr>
        <w:autoSpaceDE w:val="0"/>
        <w:autoSpaceDN w:val="0"/>
        <w:adjustRightInd w:val="0"/>
        <w:spacing w:line="360" w:lineRule="exact"/>
        <w:ind w:left="472" w:hanging="472" w:hangingChars="196"/>
        <w:rPr>
          <w:rFonts w:cs="楷体_GB2312"/>
          <w:sz w:val="24"/>
          <w:lang w:val="zh-CN"/>
        </w:rPr>
      </w:pPr>
      <w:r>
        <w:rPr>
          <w:rFonts w:hint="eastAsia" w:cs="楷体_GB2312"/>
          <w:b/>
          <w:sz w:val="24"/>
          <w:lang w:val="zh-CN"/>
        </w:rPr>
        <w:t>注：本报价一览表除在报价文件中装订外，还要单独装订密封两份，以方便公开报价。</w:t>
      </w:r>
    </w:p>
    <w:p>
      <w:pPr>
        <w:spacing w:line="600" w:lineRule="exact"/>
        <w:rPr>
          <w:rFonts w:eastAsia="楷体"/>
          <w:sz w:val="24"/>
        </w:rPr>
      </w:pPr>
      <w:r>
        <w:rPr>
          <w:rFonts w:hint="eastAsia" w:eastAsia="楷体"/>
          <w:sz w:val="24"/>
        </w:rPr>
        <w:t>投标人：（盖章）</w:t>
      </w:r>
    </w:p>
    <w:p>
      <w:pPr>
        <w:spacing w:line="600" w:lineRule="exact"/>
        <w:rPr>
          <w:rFonts w:eastAsia="楷体"/>
          <w:sz w:val="24"/>
        </w:rPr>
      </w:pPr>
      <w:r>
        <w:rPr>
          <w:rFonts w:hint="eastAsia" w:eastAsia="楷体"/>
          <w:sz w:val="24"/>
        </w:rPr>
        <w:t>法定代表人（委托代理人）：（签字）</w:t>
      </w:r>
    </w:p>
    <w:p>
      <w:pPr>
        <w:spacing w:line="600" w:lineRule="exact"/>
        <w:rPr>
          <w:rFonts w:eastAsia="楷体"/>
          <w:sz w:val="24"/>
        </w:rPr>
      </w:pPr>
      <w:r>
        <w:rPr>
          <w:rFonts w:hint="eastAsia" w:eastAsia="楷体"/>
          <w:sz w:val="24"/>
        </w:rPr>
        <w:t>日期：</w:t>
      </w:r>
      <w:r>
        <w:rPr>
          <w:rFonts w:hint="eastAsia" w:eastAsia="楷体"/>
          <w:sz w:val="24"/>
          <w:u w:val="single"/>
        </w:rPr>
        <w:t xml:space="preserve">       </w:t>
      </w:r>
      <w:r>
        <w:rPr>
          <w:rFonts w:hint="eastAsia" w:eastAsia="楷体"/>
          <w:sz w:val="24"/>
        </w:rPr>
        <w:t>年</w:t>
      </w:r>
      <w:r>
        <w:rPr>
          <w:rFonts w:hint="eastAsia" w:eastAsia="楷体"/>
          <w:sz w:val="24"/>
          <w:u w:val="single"/>
        </w:rPr>
        <w:t xml:space="preserve">   </w:t>
      </w:r>
      <w:r>
        <w:rPr>
          <w:rFonts w:hint="eastAsia" w:eastAsia="楷体"/>
          <w:sz w:val="24"/>
        </w:rPr>
        <w:t>月</w:t>
      </w:r>
      <w:r>
        <w:rPr>
          <w:rFonts w:hint="eastAsia" w:eastAsia="楷体"/>
          <w:sz w:val="24"/>
          <w:u w:val="single"/>
        </w:rPr>
        <w:t xml:space="preserve">   </w:t>
      </w:r>
      <w:r>
        <w:rPr>
          <w:rFonts w:hint="eastAsia" w:eastAsia="楷体"/>
          <w:sz w:val="24"/>
        </w:rPr>
        <w:t>日</w:t>
      </w:r>
    </w:p>
    <w:p>
      <w:pPr>
        <w:pStyle w:val="5"/>
        <w:numPr>
          <w:ilvl w:val="0"/>
          <w:numId w:val="0"/>
        </w:numPr>
        <w:spacing w:before="120" w:after="120" w:line="560" w:lineRule="exact"/>
        <w:rPr>
          <w:rFonts w:cs="宋体"/>
          <w:bCs w:val="0"/>
          <w:sz w:val="24"/>
          <w:szCs w:val="24"/>
        </w:rPr>
      </w:pPr>
      <w:bookmarkStart w:id="424" w:name="_Toc22059"/>
      <w:bookmarkStart w:id="425" w:name="_Toc49503568"/>
      <w:bookmarkStart w:id="426" w:name="_Toc23579"/>
      <w:bookmarkStart w:id="427" w:name="_Toc51786907"/>
      <w:r>
        <w:rPr>
          <w:rFonts w:hint="eastAsia" w:cs="宋体"/>
          <w:bCs w:val="0"/>
          <w:sz w:val="24"/>
          <w:szCs w:val="24"/>
        </w:rPr>
        <w:t>附件五：报价明细表</w:t>
      </w:r>
      <w:bookmarkEnd w:id="419"/>
      <w:bookmarkEnd w:id="420"/>
      <w:bookmarkEnd w:id="421"/>
      <w:bookmarkEnd w:id="422"/>
      <w:bookmarkEnd w:id="423"/>
      <w:bookmarkEnd w:id="424"/>
      <w:bookmarkEnd w:id="425"/>
      <w:bookmarkEnd w:id="426"/>
      <w:bookmarkEnd w:id="427"/>
    </w:p>
    <w:p>
      <w:pPr>
        <w:pStyle w:val="31"/>
        <w:spacing w:after="240" w:afterLines="100" w:line="460" w:lineRule="exact"/>
        <w:jc w:val="center"/>
        <w:rPr>
          <w:rFonts w:ascii="Times New Roman" w:hAnsi="Times New Roman" w:cs="宋体"/>
          <w:b/>
          <w:bCs/>
          <w:sz w:val="32"/>
          <w:szCs w:val="32"/>
        </w:rPr>
      </w:pPr>
      <w:r>
        <w:rPr>
          <w:rFonts w:hint="eastAsia" w:ascii="Times New Roman" w:hAnsi="Times New Roman" w:cs="宋体"/>
          <w:b/>
          <w:bCs/>
          <w:sz w:val="32"/>
          <w:szCs w:val="32"/>
        </w:rPr>
        <w:t>报价明细表</w:t>
      </w:r>
    </w:p>
    <w:p>
      <w:pPr>
        <w:pStyle w:val="2"/>
        <w:spacing w:after="240" w:afterLines="100"/>
        <w:rPr>
          <w:rFonts w:ascii="Times New Roman" w:hAnsi="Times New Roman"/>
          <w:b/>
          <w:sz w:val="22"/>
        </w:rPr>
      </w:pPr>
      <w:bookmarkStart w:id="428" w:name="_Toc51786777"/>
      <w:bookmarkStart w:id="429" w:name="_Toc51786908"/>
      <w:bookmarkStart w:id="430" w:name="_Toc49503569"/>
      <w:bookmarkStart w:id="431" w:name="_Toc49503653"/>
      <w:bookmarkStart w:id="432" w:name="_Toc518655809"/>
      <w:bookmarkStart w:id="433" w:name="_Toc28588"/>
      <w:bookmarkStart w:id="434" w:name="_Toc353881017"/>
      <w:bookmarkStart w:id="435" w:name="_Toc424118186"/>
      <w:bookmarkStart w:id="436" w:name="_Toc26556"/>
      <w:r>
        <w:rPr>
          <w:rFonts w:hint="eastAsia" w:ascii="Times New Roman" w:hAnsi="Times New Roman"/>
          <w:b/>
          <w:sz w:val="22"/>
        </w:rPr>
        <w:t>由投标人根据其招标文件要求编制清单并报价</w:t>
      </w:r>
      <w:bookmarkEnd w:id="428"/>
      <w:bookmarkEnd w:id="429"/>
      <w:bookmarkEnd w:id="430"/>
      <w:bookmarkEnd w:id="431"/>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564"/>
        <w:gridCol w:w="1141"/>
        <w:gridCol w:w="881"/>
        <w:gridCol w:w="648"/>
        <w:gridCol w:w="648"/>
        <w:gridCol w:w="1275"/>
        <w:gridCol w:w="833"/>
        <w:gridCol w:w="960"/>
        <w:gridCol w:w="1099"/>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6" w:hRule="atLeast"/>
          <w:jc w:val="center"/>
        </w:trPr>
        <w:tc>
          <w:tcPr>
            <w:tcW w:w="564" w:type="dxa"/>
            <w:vAlign w:val="center"/>
          </w:tcPr>
          <w:p>
            <w:pPr>
              <w:pStyle w:val="364"/>
              <w:rPr>
                <w:rFonts w:ascii="Times New Roman" w:hAnsi="Times New Roman"/>
              </w:rPr>
            </w:pPr>
            <w:r>
              <w:rPr>
                <w:rFonts w:hint="eastAsia" w:ascii="Times New Roman" w:hAnsi="Times New Roman" w:eastAsia="宋体" w:cs="宋体"/>
              </w:rPr>
              <w:t>序</w:t>
            </w:r>
            <w:r>
              <w:rPr>
                <w:rFonts w:hint="eastAsia" w:ascii="Times New Roman" w:hAnsi="Times New Roman"/>
              </w:rPr>
              <w:t xml:space="preserve"> </w:t>
            </w:r>
            <w:r>
              <w:rPr>
                <w:rFonts w:hint="eastAsia" w:ascii="Times New Roman" w:hAnsi="Times New Roman" w:eastAsia="宋体" w:cs="宋体"/>
              </w:rPr>
              <w:t>号</w:t>
            </w:r>
          </w:p>
        </w:tc>
        <w:tc>
          <w:tcPr>
            <w:tcW w:w="1141" w:type="dxa"/>
            <w:vAlign w:val="center"/>
          </w:tcPr>
          <w:p>
            <w:pPr>
              <w:pStyle w:val="364"/>
              <w:rPr>
                <w:rFonts w:ascii="Times New Roman" w:hAnsi="Times New Roman"/>
              </w:rPr>
            </w:pPr>
            <w:r>
              <w:rPr>
                <w:rFonts w:hint="eastAsia" w:ascii="Times New Roman" w:hAnsi="Times New Roman" w:eastAsia="宋体" w:cs="宋体"/>
              </w:rPr>
              <w:t>部件名称</w:t>
            </w:r>
          </w:p>
        </w:tc>
        <w:tc>
          <w:tcPr>
            <w:tcW w:w="881" w:type="dxa"/>
            <w:vAlign w:val="center"/>
          </w:tcPr>
          <w:p>
            <w:pPr>
              <w:pStyle w:val="364"/>
              <w:rPr>
                <w:rFonts w:ascii="Times New Roman" w:hAnsi="Times New Roman"/>
              </w:rPr>
            </w:pPr>
            <w:r>
              <w:rPr>
                <w:rFonts w:hint="eastAsia" w:ascii="Times New Roman" w:hAnsi="Times New Roman" w:eastAsia="等线"/>
              </w:rPr>
              <w:t>规格型号</w:t>
            </w:r>
          </w:p>
        </w:tc>
        <w:tc>
          <w:tcPr>
            <w:tcW w:w="648" w:type="dxa"/>
            <w:vAlign w:val="center"/>
          </w:tcPr>
          <w:p>
            <w:pPr>
              <w:pStyle w:val="364"/>
              <w:rPr>
                <w:rFonts w:ascii="Times New Roman" w:hAnsi="Times New Roman"/>
              </w:rPr>
            </w:pPr>
            <w:r>
              <w:rPr>
                <w:rFonts w:hint="eastAsia" w:ascii="Times New Roman" w:hAnsi="Times New Roman" w:eastAsia="宋体" w:cs="宋体"/>
              </w:rPr>
              <w:t>单</w:t>
            </w:r>
            <w:r>
              <w:rPr>
                <w:rFonts w:hint="eastAsia" w:ascii="Times New Roman" w:hAnsi="Times New Roman"/>
              </w:rPr>
              <w:t xml:space="preserve"> </w:t>
            </w:r>
            <w:r>
              <w:rPr>
                <w:rFonts w:hint="eastAsia" w:ascii="Times New Roman" w:hAnsi="Times New Roman" w:eastAsia="宋体" w:cs="宋体"/>
              </w:rPr>
              <w:t>位</w:t>
            </w:r>
          </w:p>
        </w:tc>
        <w:tc>
          <w:tcPr>
            <w:tcW w:w="648" w:type="dxa"/>
            <w:vAlign w:val="center"/>
          </w:tcPr>
          <w:p>
            <w:pPr>
              <w:pStyle w:val="364"/>
              <w:rPr>
                <w:rFonts w:ascii="Times New Roman" w:hAnsi="Times New Roman"/>
              </w:rPr>
            </w:pPr>
            <w:r>
              <w:rPr>
                <w:rFonts w:hint="eastAsia" w:ascii="Times New Roman" w:hAnsi="Times New Roman" w:eastAsia="宋体" w:cs="宋体"/>
              </w:rPr>
              <w:t>数</w:t>
            </w:r>
            <w:r>
              <w:rPr>
                <w:rFonts w:hint="eastAsia" w:ascii="Times New Roman" w:hAnsi="Times New Roman"/>
              </w:rPr>
              <w:t xml:space="preserve">  </w:t>
            </w:r>
            <w:r>
              <w:rPr>
                <w:rFonts w:hint="eastAsia" w:ascii="Times New Roman" w:hAnsi="Times New Roman" w:eastAsia="宋体" w:cs="宋体"/>
              </w:rPr>
              <w:t>量</w:t>
            </w:r>
          </w:p>
        </w:tc>
        <w:tc>
          <w:tcPr>
            <w:tcW w:w="1275" w:type="dxa"/>
            <w:vAlign w:val="center"/>
          </w:tcPr>
          <w:p>
            <w:pPr>
              <w:pStyle w:val="364"/>
              <w:rPr>
                <w:rFonts w:ascii="Times New Roman" w:hAnsi="Times New Roman"/>
              </w:rPr>
            </w:pPr>
            <w:r>
              <w:rPr>
                <w:rFonts w:hint="eastAsia" w:ascii="Times New Roman" w:hAnsi="Times New Roman" w:eastAsia="宋体" w:cs="宋体"/>
              </w:rPr>
              <w:t>生产厂商名称</w:t>
            </w:r>
          </w:p>
        </w:tc>
        <w:tc>
          <w:tcPr>
            <w:tcW w:w="833" w:type="dxa"/>
            <w:vAlign w:val="center"/>
          </w:tcPr>
          <w:p>
            <w:pPr>
              <w:pStyle w:val="364"/>
              <w:rPr>
                <w:rFonts w:ascii="Times New Roman" w:hAnsi="Times New Roman"/>
              </w:rPr>
            </w:pPr>
            <w:r>
              <w:rPr>
                <w:rFonts w:hint="eastAsia" w:ascii="Times New Roman" w:hAnsi="Times New Roman" w:eastAsia="宋体" w:cs="宋体"/>
              </w:rPr>
              <w:t>单价</w:t>
            </w:r>
          </w:p>
        </w:tc>
        <w:tc>
          <w:tcPr>
            <w:tcW w:w="960" w:type="dxa"/>
            <w:vAlign w:val="center"/>
          </w:tcPr>
          <w:p>
            <w:pPr>
              <w:pStyle w:val="364"/>
              <w:rPr>
                <w:rFonts w:ascii="Times New Roman" w:hAnsi="Times New Roman" w:eastAsia="宋体"/>
              </w:rPr>
            </w:pPr>
            <w:r>
              <w:rPr>
                <w:rFonts w:hint="eastAsia" w:ascii="Times New Roman" w:hAnsi="Times New Roman" w:eastAsia="宋体" w:cs="宋体"/>
              </w:rPr>
              <w:t>分项金额</w:t>
            </w:r>
          </w:p>
        </w:tc>
        <w:tc>
          <w:tcPr>
            <w:tcW w:w="1099" w:type="dxa"/>
            <w:vAlign w:val="center"/>
          </w:tcPr>
          <w:p>
            <w:pPr>
              <w:pStyle w:val="364"/>
              <w:rPr>
                <w:rFonts w:ascii="Times New Roman" w:hAnsi="Times New Roman"/>
              </w:rPr>
            </w:pPr>
            <w:r>
              <w:rPr>
                <w:rFonts w:hint="eastAsia" w:ascii="Times New Roman" w:hAnsi="Times New Roman" w:eastAsia="宋体" w:cs="宋体"/>
              </w:rPr>
              <w:t>交货日期</w:t>
            </w:r>
          </w:p>
        </w:tc>
        <w:tc>
          <w:tcPr>
            <w:tcW w:w="1029" w:type="dxa"/>
            <w:vAlign w:val="center"/>
          </w:tcPr>
          <w:p>
            <w:pPr>
              <w:pStyle w:val="364"/>
              <w:rPr>
                <w:rFonts w:ascii="Times New Roman" w:hAnsi="Times New Roman"/>
              </w:rPr>
            </w:pPr>
            <w:r>
              <w:rPr>
                <w:rFonts w:hint="eastAsia" w:ascii="Times New Roman" w:hAnsi="Times New Roman" w:eastAsia="宋体" w:cs="宋体"/>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4" w:type="dxa"/>
            <w:vAlign w:val="center"/>
          </w:tcPr>
          <w:p>
            <w:pPr>
              <w:pStyle w:val="364"/>
              <w:rPr>
                <w:rFonts w:ascii="Times New Roman" w:hAnsi="Times New Roman"/>
              </w:rPr>
            </w:pPr>
          </w:p>
        </w:tc>
        <w:tc>
          <w:tcPr>
            <w:tcW w:w="1141" w:type="dxa"/>
            <w:vAlign w:val="center"/>
          </w:tcPr>
          <w:p>
            <w:pPr>
              <w:pStyle w:val="364"/>
              <w:rPr>
                <w:rFonts w:ascii="Times New Roman" w:hAnsi="Times New Roman"/>
              </w:rPr>
            </w:pPr>
          </w:p>
        </w:tc>
        <w:tc>
          <w:tcPr>
            <w:tcW w:w="881"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648" w:type="dxa"/>
            <w:vAlign w:val="center"/>
          </w:tcPr>
          <w:p>
            <w:pPr>
              <w:pStyle w:val="364"/>
              <w:rPr>
                <w:rFonts w:ascii="Times New Roman" w:hAnsi="Times New Roman"/>
              </w:rPr>
            </w:pPr>
          </w:p>
        </w:tc>
        <w:tc>
          <w:tcPr>
            <w:tcW w:w="1275" w:type="dxa"/>
            <w:vAlign w:val="center"/>
          </w:tcPr>
          <w:p>
            <w:pPr>
              <w:pStyle w:val="364"/>
              <w:rPr>
                <w:rFonts w:ascii="Times New Roman" w:hAnsi="Times New Roman"/>
              </w:rPr>
            </w:pPr>
          </w:p>
        </w:tc>
        <w:tc>
          <w:tcPr>
            <w:tcW w:w="833" w:type="dxa"/>
            <w:vAlign w:val="center"/>
          </w:tcPr>
          <w:p>
            <w:pPr>
              <w:pStyle w:val="364"/>
              <w:rPr>
                <w:rFonts w:ascii="Times New Roman" w:hAnsi="Times New Roman"/>
              </w:rPr>
            </w:pPr>
          </w:p>
        </w:tc>
        <w:tc>
          <w:tcPr>
            <w:tcW w:w="960" w:type="dxa"/>
            <w:vAlign w:val="center"/>
          </w:tcPr>
          <w:p>
            <w:pPr>
              <w:pStyle w:val="364"/>
              <w:rPr>
                <w:rFonts w:ascii="Times New Roman" w:hAnsi="Times New Roman"/>
              </w:rPr>
            </w:pPr>
          </w:p>
        </w:tc>
        <w:tc>
          <w:tcPr>
            <w:tcW w:w="1099" w:type="dxa"/>
            <w:vAlign w:val="center"/>
          </w:tcPr>
          <w:p>
            <w:pPr>
              <w:pStyle w:val="364"/>
              <w:rPr>
                <w:rFonts w:ascii="Times New Roman" w:hAnsi="Times New Roman"/>
              </w:rPr>
            </w:pPr>
          </w:p>
        </w:tc>
        <w:tc>
          <w:tcPr>
            <w:tcW w:w="1029" w:type="dxa"/>
            <w:vAlign w:val="center"/>
          </w:tcPr>
          <w:p>
            <w:pPr>
              <w:pStyle w:val="36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1705" w:type="dxa"/>
            <w:gridSpan w:val="2"/>
            <w:vAlign w:val="center"/>
          </w:tcPr>
          <w:p>
            <w:pPr>
              <w:pStyle w:val="364"/>
              <w:rPr>
                <w:rFonts w:ascii="Times New Roman" w:hAnsi="Times New Roman"/>
              </w:rPr>
            </w:pPr>
            <w:r>
              <w:rPr>
                <w:rFonts w:hint="eastAsia" w:ascii="Times New Roman" w:hAnsi="Times New Roman" w:eastAsia="宋体" w:cs="宋体"/>
              </w:rPr>
              <w:t>合计：</w:t>
            </w:r>
          </w:p>
        </w:tc>
        <w:tc>
          <w:tcPr>
            <w:tcW w:w="881" w:type="dxa"/>
            <w:vAlign w:val="center"/>
          </w:tcPr>
          <w:p>
            <w:pPr>
              <w:pStyle w:val="364"/>
              <w:rPr>
                <w:rFonts w:ascii="Times New Roman" w:hAnsi="Times New Roman"/>
              </w:rPr>
            </w:pPr>
          </w:p>
        </w:tc>
        <w:tc>
          <w:tcPr>
            <w:tcW w:w="6492" w:type="dxa"/>
            <w:gridSpan w:val="7"/>
            <w:vAlign w:val="center"/>
          </w:tcPr>
          <w:p>
            <w:pPr>
              <w:pStyle w:val="364"/>
              <w:rPr>
                <w:rFonts w:ascii="Times New Roman" w:hAnsi="Times New Roman"/>
              </w:rPr>
            </w:pPr>
          </w:p>
        </w:tc>
      </w:tr>
    </w:tbl>
    <w:p>
      <w:pPr>
        <w:spacing w:line="440" w:lineRule="exact"/>
        <w:ind w:firstLine="480" w:firstLineChars="200"/>
        <w:rPr>
          <w:rFonts w:cs="宋体"/>
          <w:sz w:val="24"/>
          <w:szCs w:val="24"/>
        </w:rPr>
      </w:pPr>
    </w:p>
    <w:p>
      <w:pPr>
        <w:spacing w:line="440" w:lineRule="exact"/>
        <w:ind w:firstLine="480" w:firstLineChars="200"/>
        <w:rPr>
          <w:rFonts w:cs="宋体"/>
          <w:sz w:val="24"/>
          <w:szCs w:val="24"/>
        </w:rPr>
      </w:pPr>
    </w:p>
    <w:p>
      <w:pPr>
        <w:spacing w:line="440" w:lineRule="exact"/>
        <w:ind w:firstLine="480" w:firstLineChars="200"/>
        <w:rPr>
          <w:rFonts w:cs="宋体"/>
          <w:sz w:val="24"/>
          <w:szCs w:val="24"/>
        </w:rPr>
      </w:pPr>
      <w:bookmarkStart w:id="437" w:name="_Toc51786778"/>
      <w:bookmarkStart w:id="438" w:name="_Toc49503654"/>
      <w:bookmarkStart w:id="439" w:name="_Toc51786909"/>
      <w:bookmarkStart w:id="440" w:name="_Toc49503570"/>
      <w:r>
        <w:rPr>
          <w:rFonts w:hint="eastAsia" w:cs="宋体"/>
          <w:sz w:val="24"/>
          <w:szCs w:val="24"/>
        </w:rPr>
        <w:t>投标人：（盖章）</w:t>
      </w:r>
      <w:bookmarkEnd w:id="437"/>
      <w:bookmarkEnd w:id="438"/>
      <w:bookmarkEnd w:id="439"/>
      <w:bookmarkEnd w:id="440"/>
    </w:p>
    <w:p>
      <w:pPr>
        <w:spacing w:line="440" w:lineRule="exact"/>
        <w:ind w:firstLine="480" w:firstLineChars="200"/>
        <w:rPr>
          <w:rFonts w:cs="宋体"/>
          <w:sz w:val="24"/>
          <w:szCs w:val="24"/>
        </w:rPr>
      </w:pPr>
      <w:bookmarkStart w:id="441" w:name="_Toc49503571"/>
      <w:bookmarkStart w:id="442" w:name="_Toc49503655"/>
      <w:bookmarkStart w:id="443" w:name="_Toc51786779"/>
      <w:bookmarkStart w:id="444" w:name="_Toc51786910"/>
      <w:r>
        <w:rPr>
          <w:rFonts w:hint="eastAsia" w:cs="宋体"/>
          <w:sz w:val="24"/>
          <w:szCs w:val="24"/>
        </w:rPr>
        <w:t>法定代表人（或委托代理人）：（签字）</w:t>
      </w:r>
      <w:bookmarkEnd w:id="441"/>
      <w:bookmarkEnd w:id="442"/>
      <w:bookmarkEnd w:id="443"/>
      <w:bookmarkEnd w:id="444"/>
    </w:p>
    <w:p>
      <w:pPr>
        <w:spacing w:line="440" w:lineRule="exact"/>
        <w:ind w:firstLine="480" w:firstLineChars="200"/>
        <w:rPr>
          <w:rFonts w:cs="宋体"/>
          <w:sz w:val="24"/>
          <w:szCs w:val="24"/>
        </w:rPr>
      </w:pPr>
      <w:bookmarkStart w:id="445" w:name="_Toc51786780"/>
      <w:bookmarkStart w:id="446" w:name="_Toc49503656"/>
      <w:bookmarkStart w:id="447" w:name="_Toc49503572"/>
      <w:bookmarkStart w:id="448" w:name="_Toc51786911"/>
      <w:r>
        <w:rPr>
          <w:rFonts w:hint="eastAsia" w:cs="宋体"/>
          <w:sz w:val="24"/>
          <w:szCs w:val="24"/>
        </w:rPr>
        <w:t>日期：      年   月   日</w:t>
      </w:r>
      <w:bookmarkEnd w:id="445"/>
      <w:bookmarkEnd w:id="446"/>
      <w:bookmarkEnd w:id="447"/>
      <w:bookmarkEnd w:id="448"/>
    </w:p>
    <w:p>
      <w:pPr>
        <w:spacing w:line="440" w:lineRule="exact"/>
        <w:ind w:firstLine="480" w:firstLineChars="200"/>
        <w:rPr>
          <w:rFonts w:cs="宋体"/>
          <w:sz w:val="24"/>
          <w:szCs w:val="24"/>
        </w:rPr>
      </w:pPr>
    </w:p>
    <w:p>
      <w:pPr>
        <w:spacing w:line="440" w:lineRule="exact"/>
        <w:ind w:firstLine="482" w:firstLineChars="200"/>
        <w:rPr>
          <w:rFonts w:cs="宋体"/>
          <w:sz w:val="24"/>
          <w:szCs w:val="24"/>
        </w:rPr>
      </w:pPr>
      <w:bookmarkStart w:id="449" w:name="_Toc51786912"/>
      <w:bookmarkStart w:id="450" w:name="_Toc51786781"/>
      <w:bookmarkStart w:id="451" w:name="_Toc49503657"/>
      <w:bookmarkStart w:id="452" w:name="_Toc49503573"/>
      <w:r>
        <w:rPr>
          <w:rFonts w:hint="eastAsia" w:cs="宋体"/>
          <w:b/>
          <w:bCs/>
          <w:sz w:val="24"/>
          <w:szCs w:val="24"/>
        </w:rPr>
        <w:t>注：</w:t>
      </w:r>
      <w:r>
        <w:rPr>
          <w:rFonts w:hint="eastAsia" w:cs="宋体"/>
          <w:sz w:val="24"/>
          <w:szCs w:val="24"/>
        </w:rPr>
        <w:t>1、综合单价中应包括施工的原材料、加工制作及其损耗、表面油漆涂料、运输、安装、管理费、验收、市场风险、应纳各项税费、利润等全部费用。</w:t>
      </w:r>
      <w:bookmarkEnd w:id="449"/>
      <w:bookmarkEnd w:id="450"/>
      <w:bookmarkEnd w:id="451"/>
      <w:bookmarkEnd w:id="452"/>
    </w:p>
    <w:p>
      <w:pPr>
        <w:spacing w:line="440" w:lineRule="exact"/>
        <w:ind w:firstLine="960" w:firstLineChars="400"/>
        <w:rPr>
          <w:rFonts w:cs="宋体"/>
          <w:sz w:val="24"/>
          <w:szCs w:val="24"/>
        </w:rPr>
      </w:pPr>
      <w:bookmarkStart w:id="453" w:name="_Toc49503574"/>
      <w:bookmarkStart w:id="454" w:name="_Toc51786782"/>
      <w:bookmarkStart w:id="455" w:name="_Toc49503658"/>
      <w:bookmarkStart w:id="456" w:name="_Toc51786913"/>
      <w:r>
        <w:rPr>
          <w:rFonts w:hint="eastAsia" w:cs="宋体"/>
          <w:sz w:val="24"/>
          <w:szCs w:val="24"/>
        </w:rPr>
        <w:t>2、本表中的总报价必须与《报价一览表》中的总报价一致。</w:t>
      </w:r>
      <w:bookmarkEnd w:id="453"/>
      <w:bookmarkEnd w:id="454"/>
      <w:bookmarkEnd w:id="455"/>
      <w:bookmarkEnd w:id="456"/>
    </w:p>
    <w:p>
      <w:pPr>
        <w:spacing w:line="440" w:lineRule="exact"/>
        <w:ind w:firstLine="960" w:firstLineChars="400"/>
        <w:rPr>
          <w:rFonts w:cs="宋体"/>
          <w:sz w:val="24"/>
          <w:szCs w:val="24"/>
        </w:rPr>
        <w:sectPr>
          <w:pgSz w:w="11907" w:h="16840"/>
          <w:pgMar w:top="1785" w:right="1418" w:bottom="1418" w:left="1418" w:header="724" w:footer="851" w:gutter="0"/>
          <w:cols w:space="720" w:num="1"/>
          <w:docGrid w:linePitch="290" w:charSpace="-3931"/>
        </w:sectPr>
      </w:pPr>
      <w:bookmarkStart w:id="457" w:name="_Toc49503659"/>
      <w:bookmarkStart w:id="458" w:name="_Toc51786914"/>
      <w:bookmarkStart w:id="459" w:name="_Toc49503575"/>
      <w:bookmarkStart w:id="460" w:name="_Toc51786783"/>
      <w:r>
        <w:rPr>
          <w:rFonts w:hint="eastAsia" w:cs="宋体"/>
          <w:sz w:val="24"/>
          <w:szCs w:val="24"/>
        </w:rPr>
        <w:t>3、如上表中有关费用投标人免费提供，请注明"免费"字样。表格格式可根据需要进行扩展。</w:t>
      </w:r>
      <w:bookmarkEnd w:id="457"/>
      <w:bookmarkEnd w:id="458"/>
      <w:bookmarkEnd w:id="459"/>
      <w:bookmarkEnd w:id="460"/>
    </w:p>
    <w:p>
      <w:pPr>
        <w:pStyle w:val="5"/>
        <w:numPr>
          <w:ilvl w:val="0"/>
          <w:numId w:val="0"/>
        </w:numPr>
        <w:spacing w:before="120" w:after="120" w:line="560" w:lineRule="exact"/>
        <w:rPr>
          <w:rFonts w:cs="宋体"/>
          <w:bCs w:val="0"/>
          <w:sz w:val="24"/>
          <w:szCs w:val="24"/>
        </w:rPr>
      </w:pPr>
      <w:bookmarkStart w:id="461" w:name="_Toc51786915"/>
      <w:bookmarkStart w:id="462" w:name="_Toc29645"/>
      <w:bookmarkStart w:id="463" w:name="_Toc22125"/>
      <w:r>
        <w:rPr>
          <w:rFonts w:hint="eastAsia" w:cs="宋体"/>
          <w:bCs w:val="0"/>
          <w:sz w:val="24"/>
          <w:szCs w:val="24"/>
        </w:rPr>
        <w:t>附件六：商务条款偏离表</w:t>
      </w:r>
      <w:bookmarkEnd w:id="432"/>
      <w:bookmarkEnd w:id="433"/>
      <w:bookmarkEnd w:id="434"/>
      <w:bookmarkEnd w:id="435"/>
      <w:bookmarkEnd w:id="436"/>
      <w:bookmarkEnd w:id="461"/>
      <w:bookmarkEnd w:id="462"/>
      <w:bookmarkEnd w:id="463"/>
    </w:p>
    <w:p>
      <w:pPr>
        <w:pStyle w:val="31"/>
        <w:spacing w:after="0" w:line="460" w:lineRule="exact"/>
        <w:jc w:val="center"/>
        <w:rPr>
          <w:rFonts w:ascii="Times New Roman" w:hAnsi="Times New Roman"/>
        </w:rPr>
      </w:pPr>
      <w:r>
        <w:rPr>
          <w:rFonts w:hint="eastAsia" w:ascii="Times New Roman" w:hAnsi="Times New Roman" w:cs="宋体"/>
          <w:b/>
          <w:bCs/>
          <w:sz w:val="32"/>
          <w:szCs w:val="32"/>
        </w:rPr>
        <w:t>商务条款偏离表</w:t>
      </w:r>
    </w:p>
    <w:p>
      <w:pPr>
        <w:spacing w:line="240" w:lineRule="exact"/>
        <w:rPr>
          <w:sz w:val="24"/>
        </w:rPr>
      </w:pPr>
    </w:p>
    <w:p>
      <w:pPr>
        <w:spacing w:line="520" w:lineRule="exact"/>
        <w:rPr>
          <w:sz w:val="24"/>
          <w:u w:val="single"/>
        </w:rPr>
      </w:pPr>
      <w:r>
        <w:rPr>
          <w:rFonts w:hint="eastAsia"/>
          <w:sz w:val="24"/>
        </w:rPr>
        <w:t>项目名称：</w:t>
      </w:r>
      <w:r>
        <w:rPr>
          <w:rFonts w:hint="eastAsia"/>
          <w:sz w:val="24"/>
          <w:u w:val="single"/>
        </w:rPr>
        <w:t xml:space="preserve">                         </w:t>
      </w:r>
      <w:r>
        <w:rPr>
          <w:rFonts w:hint="eastAsia"/>
          <w:sz w:val="24"/>
        </w:rPr>
        <w:t xml:space="preserve">       招标编号：</w:t>
      </w:r>
      <w:r>
        <w:rPr>
          <w:rFonts w:hint="eastAsia"/>
          <w:sz w:val="24"/>
          <w:u w:val="single"/>
        </w:rPr>
        <w:t xml:space="preserve">              </w:t>
      </w:r>
    </w:p>
    <w:tbl>
      <w:tblPr>
        <w:tblStyle w:val="7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90"/>
        <w:gridCol w:w="1890"/>
        <w:gridCol w:w="1890"/>
        <w:gridCol w:w="189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b/>
                <w:sz w:val="24"/>
              </w:rPr>
            </w:pPr>
            <w:r>
              <w:rPr>
                <w:rFonts w:hint="eastAsia"/>
                <w:b/>
                <w:sz w:val="24"/>
              </w:rPr>
              <w:t>序号</w:t>
            </w:r>
          </w:p>
        </w:tc>
        <w:tc>
          <w:tcPr>
            <w:tcW w:w="1890" w:type="dxa"/>
            <w:vAlign w:val="center"/>
          </w:tcPr>
          <w:p>
            <w:pPr>
              <w:jc w:val="center"/>
              <w:rPr>
                <w:b/>
                <w:sz w:val="24"/>
              </w:rPr>
            </w:pPr>
            <w:r>
              <w:rPr>
                <w:rFonts w:hint="eastAsia"/>
                <w:b/>
                <w:sz w:val="24"/>
              </w:rPr>
              <w:t>招标文件</w:t>
            </w:r>
          </w:p>
          <w:p>
            <w:pPr>
              <w:jc w:val="center"/>
              <w:rPr>
                <w:b/>
                <w:sz w:val="24"/>
              </w:rPr>
            </w:pPr>
            <w:r>
              <w:rPr>
                <w:rFonts w:hint="eastAsia"/>
                <w:b/>
                <w:sz w:val="24"/>
              </w:rPr>
              <w:t>条款号</w:t>
            </w:r>
          </w:p>
        </w:tc>
        <w:tc>
          <w:tcPr>
            <w:tcW w:w="1890" w:type="dxa"/>
            <w:vAlign w:val="center"/>
          </w:tcPr>
          <w:p>
            <w:pPr>
              <w:jc w:val="center"/>
              <w:rPr>
                <w:b/>
                <w:sz w:val="24"/>
              </w:rPr>
            </w:pPr>
            <w:r>
              <w:rPr>
                <w:rFonts w:hint="eastAsia"/>
                <w:b/>
                <w:sz w:val="24"/>
              </w:rPr>
              <w:t>招标文件</w:t>
            </w:r>
          </w:p>
          <w:p>
            <w:pPr>
              <w:jc w:val="center"/>
              <w:rPr>
                <w:b/>
                <w:sz w:val="24"/>
              </w:rPr>
            </w:pPr>
            <w:r>
              <w:rPr>
                <w:rFonts w:hint="eastAsia"/>
                <w:b/>
                <w:sz w:val="24"/>
              </w:rPr>
              <w:t>条款内容</w:t>
            </w:r>
          </w:p>
        </w:tc>
        <w:tc>
          <w:tcPr>
            <w:tcW w:w="1890" w:type="dxa"/>
            <w:vAlign w:val="center"/>
          </w:tcPr>
          <w:p>
            <w:pPr>
              <w:jc w:val="center"/>
              <w:rPr>
                <w:b/>
                <w:sz w:val="24"/>
              </w:rPr>
            </w:pPr>
            <w:r>
              <w:rPr>
                <w:rFonts w:hint="eastAsia"/>
                <w:b/>
                <w:sz w:val="24"/>
              </w:rPr>
              <w:t>投标文件</w:t>
            </w:r>
          </w:p>
          <w:p>
            <w:pPr>
              <w:jc w:val="center"/>
              <w:rPr>
                <w:b/>
                <w:sz w:val="24"/>
              </w:rPr>
            </w:pPr>
            <w:r>
              <w:rPr>
                <w:rFonts w:hint="eastAsia"/>
                <w:b/>
                <w:sz w:val="24"/>
              </w:rPr>
              <w:t>条款号</w:t>
            </w:r>
          </w:p>
        </w:tc>
        <w:tc>
          <w:tcPr>
            <w:tcW w:w="1890" w:type="dxa"/>
            <w:vAlign w:val="center"/>
          </w:tcPr>
          <w:p>
            <w:pPr>
              <w:jc w:val="center"/>
              <w:rPr>
                <w:b/>
                <w:sz w:val="24"/>
              </w:rPr>
            </w:pPr>
            <w:r>
              <w:rPr>
                <w:rFonts w:hint="eastAsia"/>
                <w:b/>
                <w:sz w:val="24"/>
              </w:rPr>
              <w:t>投标文件</w:t>
            </w:r>
          </w:p>
          <w:p>
            <w:pPr>
              <w:jc w:val="center"/>
              <w:rPr>
                <w:b/>
                <w:sz w:val="24"/>
              </w:rPr>
            </w:pPr>
            <w:r>
              <w:rPr>
                <w:rFonts w:hint="eastAsia"/>
                <w:b/>
                <w:sz w:val="24"/>
              </w:rPr>
              <w:t>条款内容</w:t>
            </w:r>
          </w:p>
        </w:tc>
        <w:tc>
          <w:tcPr>
            <w:tcW w:w="1032" w:type="dxa"/>
            <w:vAlign w:val="center"/>
          </w:tcPr>
          <w:p>
            <w:pPr>
              <w:rPr>
                <w:b/>
                <w:sz w:val="24"/>
              </w:rPr>
            </w:pPr>
            <w:r>
              <w:rPr>
                <w:rFonts w:hint="eastAsia"/>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890" w:type="dxa"/>
          </w:tcPr>
          <w:p>
            <w:pPr>
              <w:rPr>
                <w:sz w:val="24"/>
              </w:rPr>
            </w:pPr>
          </w:p>
        </w:tc>
        <w:tc>
          <w:tcPr>
            <w:tcW w:w="1032" w:type="dxa"/>
          </w:tcPr>
          <w:p>
            <w:pPr>
              <w:rPr>
                <w:sz w:val="24"/>
              </w:rPr>
            </w:pPr>
          </w:p>
        </w:tc>
      </w:tr>
    </w:tbl>
    <w:p>
      <w:pPr>
        <w:spacing w:line="660" w:lineRule="exact"/>
        <w:rPr>
          <w:sz w:val="24"/>
        </w:rPr>
      </w:pPr>
      <w:r>
        <w:rPr>
          <w:rFonts w:hint="eastAsia"/>
          <w:sz w:val="24"/>
        </w:rPr>
        <w:t>投标人：（盖章）</w:t>
      </w:r>
    </w:p>
    <w:p>
      <w:pPr>
        <w:spacing w:line="660" w:lineRule="exact"/>
        <w:rPr>
          <w:sz w:val="24"/>
        </w:rPr>
      </w:pPr>
      <w:r>
        <w:rPr>
          <w:rFonts w:hint="eastAsia"/>
          <w:sz w:val="24"/>
        </w:rPr>
        <w:t>法定代表人（委托代理人）：（签字）</w:t>
      </w:r>
    </w:p>
    <w:p>
      <w:pPr>
        <w:spacing w:line="660" w:lineRule="exact"/>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rPr>
          <w:sz w:val="24"/>
        </w:rPr>
      </w:pPr>
    </w:p>
    <w:p>
      <w:pPr>
        <w:rPr>
          <w:sz w:val="24"/>
        </w:rPr>
        <w:sectPr>
          <w:pgSz w:w="11907" w:h="16840"/>
          <w:pgMar w:top="1785" w:right="1418" w:bottom="1418" w:left="1418" w:header="724" w:footer="851" w:gutter="0"/>
          <w:cols w:space="720" w:num="1"/>
          <w:docGrid w:linePitch="290" w:charSpace="-3931"/>
        </w:sectPr>
      </w:pPr>
    </w:p>
    <w:p>
      <w:pPr>
        <w:pStyle w:val="5"/>
        <w:numPr>
          <w:ilvl w:val="0"/>
          <w:numId w:val="0"/>
        </w:numPr>
        <w:spacing w:before="120" w:after="120" w:line="560" w:lineRule="exact"/>
        <w:rPr>
          <w:rFonts w:cs="宋体"/>
          <w:bCs w:val="0"/>
          <w:sz w:val="24"/>
          <w:szCs w:val="24"/>
        </w:rPr>
      </w:pPr>
      <w:bookmarkStart w:id="464" w:name="_Toc23535"/>
      <w:bookmarkStart w:id="465" w:name="_Toc424118189"/>
      <w:bookmarkStart w:id="466" w:name="_Toc353881020"/>
      <w:bookmarkStart w:id="467" w:name="_Toc518655812"/>
      <w:bookmarkStart w:id="468" w:name="_Toc23672"/>
      <w:bookmarkStart w:id="469" w:name="_Toc16947"/>
      <w:bookmarkStart w:id="470" w:name="_Toc23315"/>
      <w:bookmarkStart w:id="471" w:name="_Toc51786916"/>
      <w:r>
        <w:rPr>
          <w:rFonts w:hint="eastAsia" w:cs="宋体"/>
          <w:bCs w:val="0"/>
          <w:sz w:val="24"/>
          <w:szCs w:val="24"/>
        </w:rPr>
        <w:t>附件七</w:t>
      </w:r>
      <w:bookmarkEnd w:id="464"/>
      <w:bookmarkEnd w:id="465"/>
      <w:bookmarkEnd w:id="466"/>
      <w:bookmarkEnd w:id="467"/>
      <w:bookmarkEnd w:id="468"/>
      <w:r>
        <w:rPr>
          <w:rFonts w:hint="eastAsia" w:cs="宋体"/>
          <w:bCs w:val="0"/>
          <w:sz w:val="24"/>
          <w:szCs w:val="24"/>
        </w:rPr>
        <w:t>：近三年类似项目业绩情况表</w:t>
      </w:r>
      <w:bookmarkEnd w:id="469"/>
      <w:bookmarkEnd w:id="470"/>
      <w:bookmarkEnd w:id="471"/>
    </w:p>
    <w:p>
      <w:pPr>
        <w:pStyle w:val="31"/>
        <w:spacing w:after="0" w:line="460" w:lineRule="exact"/>
        <w:jc w:val="center"/>
        <w:rPr>
          <w:rFonts w:ascii="Times New Roman" w:hAnsi="Times New Roman" w:cs="宋体"/>
          <w:b/>
          <w:bCs/>
          <w:sz w:val="32"/>
          <w:szCs w:val="32"/>
        </w:rPr>
      </w:pPr>
      <w:bookmarkStart w:id="472" w:name="_Toc17744"/>
      <w:bookmarkStart w:id="473" w:name="_Toc51786917"/>
      <w:bookmarkStart w:id="474" w:name="_Toc49503662"/>
      <w:bookmarkStart w:id="475" w:name="_Toc7745"/>
      <w:bookmarkStart w:id="476" w:name="_Toc49503578"/>
      <w:bookmarkStart w:id="477" w:name="_Toc51786786"/>
      <w:r>
        <w:rPr>
          <w:rFonts w:hint="eastAsia" w:ascii="Times New Roman" w:hAnsi="Times New Roman" w:cs="宋体"/>
          <w:b/>
          <w:bCs/>
          <w:sz w:val="32"/>
          <w:szCs w:val="32"/>
        </w:rPr>
        <w:t>近三年类似项目业绩情况表</w:t>
      </w:r>
      <w:bookmarkEnd w:id="472"/>
      <w:bookmarkEnd w:id="473"/>
      <w:bookmarkEnd w:id="474"/>
      <w:bookmarkEnd w:id="475"/>
      <w:bookmarkEnd w:id="476"/>
      <w:bookmarkEnd w:id="477"/>
    </w:p>
    <w:p>
      <w:pPr>
        <w:spacing w:line="240" w:lineRule="exact"/>
        <w:jc w:val="center"/>
        <w:rPr>
          <w:b/>
          <w:sz w:val="28"/>
          <w:szCs w:val="28"/>
        </w:rPr>
      </w:pPr>
    </w:p>
    <w:p>
      <w:pPr>
        <w:spacing w:line="240" w:lineRule="exact"/>
        <w:outlineLvl w:val="1"/>
        <w:rPr>
          <w:u w:val="single"/>
        </w:rPr>
      </w:pPr>
      <w:bookmarkStart w:id="478" w:name="_Toc7555"/>
      <w:bookmarkStart w:id="479" w:name="_Toc51786787"/>
      <w:bookmarkStart w:id="480" w:name="_Toc49503663"/>
      <w:bookmarkStart w:id="481" w:name="_Toc1150"/>
      <w:bookmarkStart w:id="482" w:name="_Toc49503579"/>
      <w:bookmarkStart w:id="483" w:name="_Toc51786918"/>
      <w:r>
        <w:rPr>
          <w:rFonts w:hint="eastAsia"/>
        </w:rPr>
        <w:t>项目名称：</w:t>
      </w:r>
      <w:r>
        <w:rPr>
          <w:rFonts w:hint="eastAsia"/>
          <w:u w:val="single"/>
        </w:rPr>
        <w:t xml:space="preserve">                          </w:t>
      </w:r>
      <w:r>
        <w:rPr>
          <w:rFonts w:hint="eastAsia"/>
        </w:rPr>
        <w:t xml:space="preserve">                              项目编号：</w:t>
      </w:r>
      <w:bookmarkEnd w:id="478"/>
      <w:bookmarkEnd w:id="479"/>
      <w:bookmarkEnd w:id="480"/>
      <w:bookmarkEnd w:id="481"/>
      <w:bookmarkEnd w:id="482"/>
      <w:bookmarkEnd w:id="483"/>
      <w:r>
        <w:rPr>
          <w:rFonts w:hint="eastAsia"/>
          <w:u w:val="single"/>
        </w:rPr>
        <w:t xml:space="preserve">            </w:t>
      </w:r>
    </w:p>
    <w:p>
      <w:pPr>
        <w:spacing w:line="80" w:lineRule="exact"/>
        <w:rPr>
          <w:b/>
          <w:sz w:val="28"/>
          <w:szCs w:val="28"/>
        </w:rPr>
      </w:pPr>
    </w:p>
    <w:tbl>
      <w:tblPr>
        <w:tblStyle w:val="7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0"/>
        <w:gridCol w:w="1800"/>
        <w:gridCol w:w="1620"/>
        <w:gridCol w:w="1260"/>
        <w:gridCol w:w="111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20" w:type="dxa"/>
            <w:vAlign w:val="center"/>
          </w:tcPr>
          <w:p>
            <w:pPr>
              <w:autoSpaceDE w:val="0"/>
              <w:autoSpaceDN w:val="0"/>
              <w:adjustRightInd w:val="0"/>
              <w:spacing w:line="280" w:lineRule="exact"/>
              <w:jc w:val="center"/>
            </w:pPr>
            <w:r>
              <w:rPr>
                <w:rFonts w:hint="eastAsia"/>
              </w:rPr>
              <w:t>序号</w:t>
            </w:r>
          </w:p>
        </w:tc>
        <w:tc>
          <w:tcPr>
            <w:tcW w:w="1800" w:type="dxa"/>
            <w:vAlign w:val="center"/>
          </w:tcPr>
          <w:p>
            <w:pPr>
              <w:autoSpaceDE w:val="0"/>
              <w:autoSpaceDN w:val="0"/>
              <w:adjustRightInd w:val="0"/>
              <w:spacing w:line="280" w:lineRule="exact"/>
              <w:jc w:val="center"/>
            </w:pPr>
            <w:r>
              <w:rPr>
                <w:rFonts w:hint="eastAsia"/>
              </w:rPr>
              <w:t>工程名称</w:t>
            </w:r>
          </w:p>
        </w:tc>
        <w:tc>
          <w:tcPr>
            <w:tcW w:w="1800" w:type="dxa"/>
            <w:vAlign w:val="center"/>
          </w:tcPr>
          <w:p>
            <w:pPr>
              <w:autoSpaceDE w:val="0"/>
              <w:autoSpaceDN w:val="0"/>
              <w:adjustRightInd w:val="0"/>
              <w:spacing w:line="280" w:lineRule="exact"/>
              <w:jc w:val="center"/>
            </w:pPr>
            <w:r>
              <w:rPr>
                <w:rFonts w:hint="eastAsia"/>
              </w:rPr>
              <w:t>建设单位</w:t>
            </w:r>
          </w:p>
        </w:tc>
        <w:tc>
          <w:tcPr>
            <w:tcW w:w="1620" w:type="dxa"/>
            <w:vAlign w:val="center"/>
          </w:tcPr>
          <w:p>
            <w:pPr>
              <w:autoSpaceDE w:val="0"/>
              <w:autoSpaceDN w:val="0"/>
              <w:adjustRightInd w:val="0"/>
              <w:spacing w:line="280" w:lineRule="exact"/>
              <w:jc w:val="center"/>
            </w:pPr>
            <w:r>
              <w:rPr>
                <w:rFonts w:hint="eastAsia"/>
              </w:rPr>
              <w:t>签订合同时间</w:t>
            </w:r>
          </w:p>
        </w:tc>
        <w:tc>
          <w:tcPr>
            <w:tcW w:w="1260" w:type="dxa"/>
            <w:vAlign w:val="center"/>
          </w:tcPr>
          <w:p>
            <w:pPr>
              <w:autoSpaceDE w:val="0"/>
              <w:autoSpaceDN w:val="0"/>
              <w:adjustRightInd w:val="0"/>
              <w:spacing w:line="280" w:lineRule="exact"/>
              <w:ind w:right="-107" w:rightChars="-51" w:firstLine="67" w:firstLineChars="32"/>
            </w:pPr>
            <w:r>
              <w:rPr>
                <w:rFonts w:hint="eastAsia"/>
              </w:rPr>
              <w:t>合同金额</w:t>
            </w:r>
          </w:p>
        </w:tc>
        <w:tc>
          <w:tcPr>
            <w:tcW w:w="1118" w:type="dxa"/>
            <w:vAlign w:val="center"/>
          </w:tcPr>
          <w:p>
            <w:pPr>
              <w:autoSpaceDE w:val="0"/>
              <w:autoSpaceDN w:val="0"/>
              <w:adjustRightInd w:val="0"/>
              <w:spacing w:line="280" w:lineRule="exact"/>
            </w:pPr>
            <w:r>
              <w:rPr>
                <w:rFonts w:hint="eastAsia"/>
              </w:rPr>
              <w:t>建设单位联 系 人</w:t>
            </w:r>
          </w:p>
        </w:tc>
        <w:tc>
          <w:tcPr>
            <w:tcW w:w="1042" w:type="dxa"/>
            <w:vAlign w:val="center"/>
          </w:tcPr>
          <w:p>
            <w:pPr>
              <w:autoSpaceDE w:val="0"/>
              <w:autoSpaceDN w:val="0"/>
              <w:adjustRightInd w:val="0"/>
              <w:spacing w:line="280" w:lineRule="exact"/>
              <w:ind w:right="-107" w:rightChars="-51"/>
            </w:pPr>
            <w:r>
              <w:rPr>
                <w:rFonts w:hint="eastAsia"/>
              </w:rPr>
              <w:t>建设单位</w:t>
            </w:r>
          </w:p>
          <w:p>
            <w:pPr>
              <w:autoSpaceDE w:val="0"/>
              <w:autoSpaceDN w:val="0"/>
              <w:adjustRightInd w:val="0"/>
              <w:spacing w:line="280" w:lineRule="exact"/>
              <w:ind w:right="-288" w:rightChars="-137"/>
            </w:pPr>
            <w:r>
              <w:rPr>
                <w:rFonts w:hint="eastAsi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800" w:type="dxa"/>
          </w:tcPr>
          <w:p>
            <w:pPr>
              <w:autoSpaceDE w:val="0"/>
              <w:autoSpaceDN w:val="0"/>
              <w:adjustRightInd w:val="0"/>
              <w:spacing w:line="280" w:lineRule="exact"/>
              <w:rPr>
                <w:sz w:val="36"/>
                <w:szCs w:val="36"/>
              </w:rPr>
            </w:pPr>
          </w:p>
        </w:tc>
        <w:tc>
          <w:tcPr>
            <w:tcW w:w="1620" w:type="dxa"/>
          </w:tcPr>
          <w:p>
            <w:pPr>
              <w:autoSpaceDE w:val="0"/>
              <w:autoSpaceDN w:val="0"/>
              <w:adjustRightInd w:val="0"/>
              <w:spacing w:line="280" w:lineRule="exact"/>
              <w:rPr>
                <w:sz w:val="36"/>
                <w:szCs w:val="36"/>
              </w:rPr>
            </w:pPr>
          </w:p>
        </w:tc>
        <w:tc>
          <w:tcPr>
            <w:tcW w:w="1260" w:type="dxa"/>
          </w:tcPr>
          <w:p>
            <w:pPr>
              <w:autoSpaceDE w:val="0"/>
              <w:autoSpaceDN w:val="0"/>
              <w:adjustRightInd w:val="0"/>
              <w:spacing w:line="280" w:lineRule="exact"/>
              <w:rPr>
                <w:sz w:val="36"/>
                <w:szCs w:val="36"/>
              </w:rPr>
            </w:pPr>
          </w:p>
        </w:tc>
        <w:tc>
          <w:tcPr>
            <w:tcW w:w="1118" w:type="dxa"/>
          </w:tcPr>
          <w:p>
            <w:pPr>
              <w:autoSpaceDE w:val="0"/>
              <w:autoSpaceDN w:val="0"/>
              <w:adjustRightInd w:val="0"/>
              <w:spacing w:line="280" w:lineRule="exact"/>
              <w:rPr>
                <w:sz w:val="36"/>
                <w:szCs w:val="36"/>
              </w:rPr>
            </w:pPr>
          </w:p>
        </w:tc>
        <w:tc>
          <w:tcPr>
            <w:tcW w:w="1042" w:type="dxa"/>
          </w:tcPr>
          <w:p>
            <w:pPr>
              <w:autoSpaceDE w:val="0"/>
              <w:autoSpaceDN w:val="0"/>
              <w:adjustRightInd w:val="0"/>
              <w:spacing w:line="280" w:lineRule="exact"/>
              <w:rPr>
                <w:sz w:val="36"/>
                <w:szCs w:val="36"/>
              </w:rPr>
            </w:pPr>
          </w:p>
        </w:tc>
      </w:tr>
    </w:tbl>
    <w:p>
      <w:pPr>
        <w:autoSpaceDE w:val="0"/>
        <w:autoSpaceDN w:val="0"/>
        <w:adjustRightInd w:val="0"/>
        <w:rPr>
          <w:color w:val="000000"/>
          <w:sz w:val="24"/>
        </w:rPr>
      </w:pPr>
    </w:p>
    <w:p>
      <w:pPr>
        <w:autoSpaceDE w:val="0"/>
        <w:autoSpaceDN w:val="0"/>
        <w:adjustRightInd w:val="0"/>
        <w:rPr>
          <w:sz w:val="24"/>
        </w:rPr>
      </w:pPr>
      <w:r>
        <w:rPr>
          <w:rFonts w:hint="eastAsia"/>
          <w:b/>
          <w:color w:val="000000"/>
          <w:sz w:val="24"/>
        </w:rPr>
        <w:t>注：</w:t>
      </w:r>
      <w:r>
        <w:rPr>
          <w:rFonts w:hint="eastAsia"/>
          <w:color w:val="000000"/>
          <w:sz w:val="24"/>
        </w:rPr>
        <w:t>1、后</w:t>
      </w:r>
      <w:r>
        <w:rPr>
          <w:rFonts w:hint="eastAsia"/>
          <w:sz w:val="24"/>
        </w:rPr>
        <w:t>附</w:t>
      </w:r>
      <w:r>
        <w:rPr>
          <w:rFonts w:hint="eastAsia" w:cs="宋体"/>
          <w:sz w:val="24"/>
          <w:szCs w:val="24"/>
        </w:rPr>
        <w:t>须提供采购合同复印件、验收报告</w:t>
      </w:r>
      <w:r>
        <w:rPr>
          <w:rFonts w:hint="eastAsia"/>
          <w:sz w:val="24"/>
        </w:rPr>
        <w:t>。</w:t>
      </w:r>
    </w:p>
    <w:p>
      <w:pPr>
        <w:autoSpaceDE w:val="0"/>
        <w:autoSpaceDN w:val="0"/>
        <w:adjustRightInd w:val="0"/>
        <w:rPr>
          <w:sz w:val="24"/>
        </w:rPr>
      </w:pPr>
      <w:r>
        <w:rPr>
          <w:rFonts w:hint="eastAsia"/>
          <w:sz w:val="24"/>
        </w:rPr>
        <w:t xml:space="preserve">    2、近三年是指从开标当天向前推三年，精确到日。</w:t>
      </w:r>
    </w:p>
    <w:p>
      <w:pPr>
        <w:spacing w:line="600" w:lineRule="exact"/>
        <w:rPr>
          <w:sz w:val="24"/>
        </w:rPr>
      </w:pPr>
      <w:r>
        <w:rPr>
          <w:rFonts w:hint="eastAsia"/>
          <w:sz w:val="24"/>
        </w:rPr>
        <w:t>投标人：（盖章）</w:t>
      </w:r>
    </w:p>
    <w:p>
      <w:pPr>
        <w:spacing w:line="600" w:lineRule="exact"/>
        <w:rPr>
          <w:sz w:val="24"/>
        </w:rPr>
      </w:pPr>
      <w:r>
        <w:rPr>
          <w:rFonts w:hint="eastAsia"/>
          <w:sz w:val="24"/>
        </w:rPr>
        <w:t>法定代表人（或委托代理人）：（签字）</w:t>
      </w:r>
    </w:p>
    <w:p>
      <w:pPr>
        <w:spacing w:line="600" w:lineRule="exact"/>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ectPr>
          <w:pgSz w:w="11907" w:h="16840"/>
          <w:pgMar w:top="1785" w:right="1418" w:bottom="1418" w:left="1418" w:header="724" w:footer="851" w:gutter="0"/>
          <w:cols w:space="720" w:num="1"/>
          <w:docGrid w:linePitch="290" w:charSpace="-3931"/>
        </w:sectPr>
      </w:pPr>
    </w:p>
    <w:p>
      <w:pPr>
        <w:pStyle w:val="5"/>
        <w:numPr>
          <w:ilvl w:val="0"/>
          <w:numId w:val="0"/>
        </w:numPr>
        <w:spacing w:before="120" w:after="120" w:line="560" w:lineRule="exact"/>
        <w:rPr>
          <w:rFonts w:cs="宋体"/>
          <w:bCs w:val="0"/>
          <w:sz w:val="24"/>
          <w:szCs w:val="24"/>
        </w:rPr>
      </w:pPr>
      <w:bookmarkStart w:id="484" w:name="_Toc29459"/>
      <w:bookmarkStart w:id="485" w:name="_Toc20682"/>
      <w:bookmarkStart w:id="486" w:name="_Toc51786919"/>
      <w:bookmarkStart w:id="487" w:name="_Toc49503668"/>
      <w:r>
        <w:rPr>
          <w:rFonts w:hint="eastAsia" w:cs="宋体"/>
          <w:bCs w:val="0"/>
          <w:sz w:val="24"/>
          <w:szCs w:val="24"/>
        </w:rPr>
        <w:t>附件八：投标人财务状况表</w:t>
      </w:r>
      <w:bookmarkEnd w:id="484"/>
      <w:bookmarkEnd w:id="485"/>
      <w:bookmarkEnd w:id="486"/>
    </w:p>
    <w:p>
      <w:pPr>
        <w:pStyle w:val="31"/>
        <w:spacing w:after="0" w:line="460" w:lineRule="exact"/>
        <w:jc w:val="center"/>
        <w:rPr>
          <w:rFonts w:ascii="Times New Roman" w:hAnsi="Times New Roman" w:cs="宋体"/>
          <w:b/>
          <w:bCs/>
          <w:sz w:val="32"/>
          <w:szCs w:val="32"/>
        </w:rPr>
      </w:pPr>
      <w:bookmarkStart w:id="488" w:name="_Toc51786788"/>
      <w:bookmarkStart w:id="489" w:name="_Toc16770"/>
      <w:bookmarkStart w:id="490" w:name="_Toc20968"/>
      <w:bookmarkStart w:id="491" w:name="_Toc51786920"/>
      <w:r>
        <w:rPr>
          <w:rFonts w:hint="eastAsia" w:ascii="Times New Roman" w:hAnsi="Times New Roman" w:cs="宋体"/>
          <w:b/>
          <w:bCs/>
          <w:sz w:val="32"/>
          <w:szCs w:val="32"/>
        </w:rPr>
        <w:t>投标人财务状况表</w:t>
      </w:r>
      <w:bookmarkEnd w:id="487"/>
      <w:bookmarkEnd w:id="488"/>
      <w:bookmarkEnd w:id="489"/>
      <w:bookmarkEnd w:id="490"/>
      <w:bookmarkEnd w:id="491"/>
    </w:p>
    <w:p>
      <w:pPr>
        <w:spacing w:line="300" w:lineRule="exact"/>
        <w:jc w:val="center"/>
        <w:rPr>
          <w:b/>
          <w:sz w:val="28"/>
          <w:szCs w:val="28"/>
        </w:rPr>
      </w:pPr>
    </w:p>
    <w:p>
      <w:pPr>
        <w:spacing w:line="460" w:lineRule="exact"/>
        <w:ind w:firstLine="360" w:firstLineChars="150"/>
        <w:rPr>
          <w:sz w:val="24"/>
        </w:rPr>
      </w:pPr>
      <w:r>
        <w:rPr>
          <w:rFonts w:hint="eastAsia"/>
          <w:sz w:val="24"/>
        </w:rPr>
        <w:t>1、2020年基本财务状况</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033"/>
        <w:gridCol w:w="984"/>
        <w:gridCol w:w="1442"/>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411" w:type="dxa"/>
            <w:vMerge w:val="restart"/>
            <w:vAlign w:val="center"/>
          </w:tcPr>
          <w:p>
            <w:pPr>
              <w:spacing w:line="460" w:lineRule="exact"/>
              <w:rPr>
                <w:sz w:val="24"/>
              </w:rPr>
            </w:pPr>
            <w:r>
              <w:rPr>
                <w:rFonts w:hint="eastAsia"/>
                <w:sz w:val="24"/>
              </w:rPr>
              <w:t>资产总额</w:t>
            </w:r>
          </w:p>
        </w:tc>
        <w:tc>
          <w:tcPr>
            <w:tcW w:w="2033" w:type="dxa"/>
            <w:vMerge w:val="restart"/>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c>
          <w:tcPr>
            <w:tcW w:w="984" w:type="dxa"/>
            <w:vMerge w:val="restart"/>
            <w:vAlign w:val="center"/>
          </w:tcPr>
          <w:p>
            <w:pPr>
              <w:spacing w:line="460" w:lineRule="exact"/>
              <w:jc w:val="center"/>
              <w:rPr>
                <w:sz w:val="24"/>
              </w:rPr>
            </w:pPr>
            <w:r>
              <w:rPr>
                <w:rFonts w:hint="eastAsia"/>
                <w:sz w:val="24"/>
              </w:rPr>
              <w:t>其中</w:t>
            </w:r>
          </w:p>
        </w:tc>
        <w:tc>
          <w:tcPr>
            <w:tcW w:w="1442" w:type="dxa"/>
            <w:vAlign w:val="center"/>
          </w:tcPr>
          <w:p>
            <w:pPr>
              <w:spacing w:line="460" w:lineRule="exact"/>
              <w:rPr>
                <w:sz w:val="24"/>
              </w:rPr>
            </w:pPr>
            <w:r>
              <w:rPr>
                <w:rFonts w:hint="eastAsia"/>
                <w:sz w:val="24"/>
              </w:rPr>
              <w:t>固定资产</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11" w:type="dxa"/>
            <w:vMerge w:val="continue"/>
            <w:vAlign w:val="center"/>
          </w:tcPr>
          <w:p>
            <w:pPr>
              <w:spacing w:line="460" w:lineRule="exact"/>
              <w:rPr>
                <w:sz w:val="24"/>
              </w:rPr>
            </w:pPr>
          </w:p>
        </w:tc>
        <w:tc>
          <w:tcPr>
            <w:tcW w:w="2033" w:type="dxa"/>
            <w:vMerge w:val="continue"/>
            <w:vAlign w:val="center"/>
          </w:tcPr>
          <w:p>
            <w:pPr>
              <w:spacing w:line="460" w:lineRule="exact"/>
              <w:rPr>
                <w:sz w:val="24"/>
              </w:rPr>
            </w:pPr>
          </w:p>
        </w:tc>
        <w:tc>
          <w:tcPr>
            <w:tcW w:w="984" w:type="dxa"/>
            <w:vMerge w:val="continue"/>
            <w:vAlign w:val="center"/>
          </w:tcPr>
          <w:p>
            <w:pPr>
              <w:spacing w:line="460" w:lineRule="exact"/>
              <w:rPr>
                <w:sz w:val="24"/>
              </w:rPr>
            </w:pPr>
          </w:p>
        </w:tc>
        <w:tc>
          <w:tcPr>
            <w:tcW w:w="1442" w:type="dxa"/>
            <w:vAlign w:val="center"/>
          </w:tcPr>
          <w:p>
            <w:pPr>
              <w:spacing w:line="460" w:lineRule="exact"/>
              <w:rPr>
                <w:sz w:val="24"/>
              </w:rPr>
            </w:pPr>
            <w:r>
              <w:rPr>
                <w:rFonts w:hint="eastAsia"/>
                <w:sz w:val="24"/>
              </w:rPr>
              <w:t>流动资产</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411" w:type="dxa"/>
            <w:vMerge w:val="restart"/>
            <w:vAlign w:val="center"/>
          </w:tcPr>
          <w:p>
            <w:pPr>
              <w:spacing w:line="460" w:lineRule="exact"/>
              <w:rPr>
                <w:sz w:val="24"/>
              </w:rPr>
            </w:pPr>
            <w:r>
              <w:rPr>
                <w:rFonts w:hint="eastAsia"/>
                <w:sz w:val="24"/>
              </w:rPr>
              <w:t>负债总额</w:t>
            </w:r>
          </w:p>
        </w:tc>
        <w:tc>
          <w:tcPr>
            <w:tcW w:w="2033" w:type="dxa"/>
            <w:vMerge w:val="restart"/>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c>
          <w:tcPr>
            <w:tcW w:w="984" w:type="dxa"/>
            <w:vMerge w:val="restart"/>
            <w:vAlign w:val="center"/>
          </w:tcPr>
          <w:p>
            <w:pPr>
              <w:spacing w:line="460" w:lineRule="exact"/>
              <w:jc w:val="center"/>
              <w:rPr>
                <w:sz w:val="24"/>
              </w:rPr>
            </w:pPr>
            <w:r>
              <w:rPr>
                <w:rFonts w:hint="eastAsia"/>
                <w:sz w:val="24"/>
              </w:rPr>
              <w:t>其中</w:t>
            </w:r>
          </w:p>
        </w:tc>
        <w:tc>
          <w:tcPr>
            <w:tcW w:w="1442" w:type="dxa"/>
            <w:vAlign w:val="center"/>
          </w:tcPr>
          <w:p>
            <w:pPr>
              <w:spacing w:line="460" w:lineRule="exact"/>
              <w:rPr>
                <w:sz w:val="24"/>
              </w:rPr>
            </w:pPr>
            <w:r>
              <w:rPr>
                <w:rFonts w:hint="eastAsia"/>
                <w:sz w:val="24"/>
              </w:rPr>
              <w:t>长期负债</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411" w:type="dxa"/>
            <w:vMerge w:val="continue"/>
            <w:vAlign w:val="center"/>
          </w:tcPr>
          <w:p>
            <w:pPr>
              <w:spacing w:line="460" w:lineRule="exact"/>
              <w:rPr>
                <w:sz w:val="24"/>
              </w:rPr>
            </w:pPr>
          </w:p>
        </w:tc>
        <w:tc>
          <w:tcPr>
            <w:tcW w:w="2033" w:type="dxa"/>
            <w:vMerge w:val="continue"/>
            <w:vAlign w:val="center"/>
          </w:tcPr>
          <w:p>
            <w:pPr>
              <w:spacing w:line="460" w:lineRule="exact"/>
              <w:rPr>
                <w:sz w:val="24"/>
              </w:rPr>
            </w:pPr>
          </w:p>
        </w:tc>
        <w:tc>
          <w:tcPr>
            <w:tcW w:w="984" w:type="dxa"/>
            <w:vMerge w:val="continue"/>
            <w:vAlign w:val="center"/>
          </w:tcPr>
          <w:p>
            <w:pPr>
              <w:spacing w:line="460" w:lineRule="exact"/>
              <w:rPr>
                <w:sz w:val="24"/>
              </w:rPr>
            </w:pPr>
          </w:p>
        </w:tc>
        <w:tc>
          <w:tcPr>
            <w:tcW w:w="1442" w:type="dxa"/>
            <w:vAlign w:val="center"/>
          </w:tcPr>
          <w:p>
            <w:pPr>
              <w:spacing w:line="460" w:lineRule="exact"/>
              <w:rPr>
                <w:sz w:val="24"/>
              </w:rPr>
            </w:pPr>
            <w:r>
              <w:rPr>
                <w:rFonts w:hint="eastAsia"/>
                <w:sz w:val="24"/>
              </w:rPr>
              <w:t>流动负债</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bl>
    <w:p>
      <w:pPr>
        <w:spacing w:line="100" w:lineRule="exact"/>
        <w:rPr>
          <w:rFonts w:eastAsia="楷体_GB2312"/>
        </w:rPr>
      </w:pPr>
    </w:p>
    <w:p>
      <w:pPr>
        <w:spacing w:line="600" w:lineRule="exact"/>
        <w:ind w:firstLine="360" w:firstLineChars="150"/>
        <w:rPr>
          <w:sz w:val="24"/>
        </w:rPr>
      </w:pPr>
      <w:r>
        <w:rPr>
          <w:rFonts w:hint="eastAsia"/>
          <w:sz w:val="24"/>
        </w:rPr>
        <w:t>投标人：（盖章）</w:t>
      </w:r>
    </w:p>
    <w:p>
      <w:pPr>
        <w:spacing w:line="600" w:lineRule="exact"/>
        <w:ind w:firstLine="360" w:firstLineChars="150"/>
        <w:rPr>
          <w:sz w:val="24"/>
        </w:rPr>
      </w:pPr>
      <w:r>
        <w:rPr>
          <w:rFonts w:hint="eastAsia"/>
          <w:sz w:val="24"/>
        </w:rPr>
        <w:t>法定代表人（或委托代理人）：（签字）</w:t>
      </w:r>
    </w:p>
    <w:p>
      <w:pPr>
        <w:spacing w:line="600" w:lineRule="exact"/>
        <w:ind w:firstLine="360" w:firstLineChars="150"/>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60" w:lineRule="exact"/>
        <w:ind w:firstLine="360" w:firstLineChars="150"/>
        <w:rPr>
          <w:sz w:val="24"/>
        </w:rPr>
      </w:pPr>
      <w:r>
        <w:rPr>
          <w:rFonts w:hint="eastAsia"/>
          <w:sz w:val="24"/>
        </w:rPr>
        <w:t>2、2021年基本财务状况</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033"/>
        <w:gridCol w:w="984"/>
        <w:gridCol w:w="1442"/>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411" w:type="dxa"/>
            <w:vMerge w:val="restart"/>
            <w:vAlign w:val="center"/>
          </w:tcPr>
          <w:p>
            <w:pPr>
              <w:spacing w:line="460" w:lineRule="exact"/>
              <w:rPr>
                <w:sz w:val="24"/>
              </w:rPr>
            </w:pPr>
            <w:r>
              <w:rPr>
                <w:rFonts w:hint="eastAsia"/>
                <w:sz w:val="24"/>
              </w:rPr>
              <w:t>资产总额</w:t>
            </w:r>
          </w:p>
        </w:tc>
        <w:tc>
          <w:tcPr>
            <w:tcW w:w="2033" w:type="dxa"/>
            <w:vMerge w:val="restart"/>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c>
          <w:tcPr>
            <w:tcW w:w="984" w:type="dxa"/>
            <w:vMerge w:val="restart"/>
            <w:vAlign w:val="center"/>
          </w:tcPr>
          <w:p>
            <w:pPr>
              <w:spacing w:line="460" w:lineRule="exact"/>
              <w:jc w:val="center"/>
              <w:rPr>
                <w:sz w:val="24"/>
              </w:rPr>
            </w:pPr>
            <w:r>
              <w:rPr>
                <w:rFonts w:hint="eastAsia"/>
                <w:sz w:val="24"/>
              </w:rPr>
              <w:t>其中</w:t>
            </w:r>
          </w:p>
        </w:tc>
        <w:tc>
          <w:tcPr>
            <w:tcW w:w="1442" w:type="dxa"/>
            <w:vAlign w:val="center"/>
          </w:tcPr>
          <w:p>
            <w:pPr>
              <w:spacing w:line="460" w:lineRule="exact"/>
              <w:rPr>
                <w:sz w:val="24"/>
              </w:rPr>
            </w:pPr>
            <w:r>
              <w:rPr>
                <w:rFonts w:hint="eastAsia"/>
                <w:sz w:val="24"/>
              </w:rPr>
              <w:t>固定资产</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11" w:type="dxa"/>
            <w:vMerge w:val="continue"/>
            <w:vAlign w:val="center"/>
          </w:tcPr>
          <w:p>
            <w:pPr>
              <w:spacing w:line="460" w:lineRule="exact"/>
              <w:rPr>
                <w:sz w:val="24"/>
              </w:rPr>
            </w:pPr>
          </w:p>
        </w:tc>
        <w:tc>
          <w:tcPr>
            <w:tcW w:w="2033" w:type="dxa"/>
            <w:vMerge w:val="continue"/>
            <w:vAlign w:val="center"/>
          </w:tcPr>
          <w:p>
            <w:pPr>
              <w:spacing w:line="460" w:lineRule="exact"/>
              <w:rPr>
                <w:sz w:val="24"/>
              </w:rPr>
            </w:pPr>
          </w:p>
        </w:tc>
        <w:tc>
          <w:tcPr>
            <w:tcW w:w="984" w:type="dxa"/>
            <w:vMerge w:val="continue"/>
            <w:vAlign w:val="center"/>
          </w:tcPr>
          <w:p>
            <w:pPr>
              <w:spacing w:line="460" w:lineRule="exact"/>
              <w:rPr>
                <w:sz w:val="24"/>
              </w:rPr>
            </w:pPr>
          </w:p>
        </w:tc>
        <w:tc>
          <w:tcPr>
            <w:tcW w:w="1442" w:type="dxa"/>
            <w:vAlign w:val="center"/>
          </w:tcPr>
          <w:p>
            <w:pPr>
              <w:spacing w:line="460" w:lineRule="exact"/>
              <w:rPr>
                <w:sz w:val="24"/>
              </w:rPr>
            </w:pPr>
            <w:r>
              <w:rPr>
                <w:rFonts w:hint="eastAsia"/>
                <w:sz w:val="24"/>
              </w:rPr>
              <w:t>流动资产</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411" w:type="dxa"/>
            <w:vMerge w:val="restart"/>
            <w:vAlign w:val="center"/>
          </w:tcPr>
          <w:p>
            <w:pPr>
              <w:spacing w:line="460" w:lineRule="exact"/>
              <w:rPr>
                <w:sz w:val="24"/>
              </w:rPr>
            </w:pPr>
            <w:r>
              <w:rPr>
                <w:rFonts w:hint="eastAsia"/>
                <w:sz w:val="24"/>
              </w:rPr>
              <w:t>负债总额</w:t>
            </w:r>
          </w:p>
        </w:tc>
        <w:tc>
          <w:tcPr>
            <w:tcW w:w="2033" w:type="dxa"/>
            <w:vMerge w:val="restart"/>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c>
          <w:tcPr>
            <w:tcW w:w="984" w:type="dxa"/>
            <w:vMerge w:val="restart"/>
            <w:vAlign w:val="center"/>
          </w:tcPr>
          <w:p>
            <w:pPr>
              <w:spacing w:line="460" w:lineRule="exact"/>
              <w:jc w:val="center"/>
              <w:rPr>
                <w:sz w:val="24"/>
              </w:rPr>
            </w:pPr>
            <w:r>
              <w:rPr>
                <w:rFonts w:hint="eastAsia"/>
                <w:sz w:val="24"/>
              </w:rPr>
              <w:t>其中</w:t>
            </w:r>
          </w:p>
        </w:tc>
        <w:tc>
          <w:tcPr>
            <w:tcW w:w="1442" w:type="dxa"/>
            <w:vAlign w:val="center"/>
          </w:tcPr>
          <w:p>
            <w:pPr>
              <w:spacing w:line="460" w:lineRule="exact"/>
              <w:rPr>
                <w:sz w:val="24"/>
              </w:rPr>
            </w:pPr>
            <w:r>
              <w:rPr>
                <w:rFonts w:hint="eastAsia"/>
                <w:sz w:val="24"/>
              </w:rPr>
              <w:t>长期负债</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411" w:type="dxa"/>
            <w:vMerge w:val="continue"/>
            <w:vAlign w:val="center"/>
          </w:tcPr>
          <w:p>
            <w:pPr>
              <w:spacing w:line="460" w:lineRule="exact"/>
              <w:rPr>
                <w:sz w:val="24"/>
              </w:rPr>
            </w:pPr>
          </w:p>
        </w:tc>
        <w:tc>
          <w:tcPr>
            <w:tcW w:w="2033" w:type="dxa"/>
            <w:vMerge w:val="continue"/>
            <w:vAlign w:val="center"/>
          </w:tcPr>
          <w:p>
            <w:pPr>
              <w:spacing w:line="460" w:lineRule="exact"/>
              <w:rPr>
                <w:sz w:val="24"/>
              </w:rPr>
            </w:pPr>
          </w:p>
        </w:tc>
        <w:tc>
          <w:tcPr>
            <w:tcW w:w="984" w:type="dxa"/>
            <w:vMerge w:val="continue"/>
            <w:vAlign w:val="center"/>
          </w:tcPr>
          <w:p>
            <w:pPr>
              <w:spacing w:line="460" w:lineRule="exact"/>
              <w:rPr>
                <w:sz w:val="24"/>
              </w:rPr>
            </w:pPr>
          </w:p>
        </w:tc>
        <w:tc>
          <w:tcPr>
            <w:tcW w:w="1442" w:type="dxa"/>
            <w:vAlign w:val="center"/>
          </w:tcPr>
          <w:p>
            <w:pPr>
              <w:spacing w:line="460" w:lineRule="exact"/>
              <w:rPr>
                <w:sz w:val="24"/>
              </w:rPr>
            </w:pPr>
            <w:r>
              <w:rPr>
                <w:rFonts w:hint="eastAsia"/>
                <w:sz w:val="24"/>
              </w:rPr>
              <w:t>流动负债</w:t>
            </w:r>
          </w:p>
        </w:tc>
        <w:tc>
          <w:tcPr>
            <w:tcW w:w="2506" w:type="dxa"/>
            <w:vAlign w:val="center"/>
          </w:tcPr>
          <w:p>
            <w:pPr>
              <w:spacing w:line="460" w:lineRule="exact"/>
              <w:rPr>
                <w:sz w:val="24"/>
              </w:rPr>
            </w:pPr>
            <w:r>
              <w:rPr>
                <w:rFonts w:hint="eastAsia"/>
                <w:sz w:val="24"/>
              </w:rPr>
              <w:t xml:space="preserve">   </w:t>
            </w:r>
            <w:r>
              <w:rPr>
                <w:rFonts w:hint="eastAsia"/>
                <w:sz w:val="24"/>
                <w:u w:val="single"/>
              </w:rPr>
              <w:t xml:space="preserve">         </w:t>
            </w:r>
            <w:r>
              <w:rPr>
                <w:rFonts w:hint="eastAsia"/>
                <w:sz w:val="24"/>
              </w:rPr>
              <w:t>元</w:t>
            </w:r>
          </w:p>
        </w:tc>
      </w:tr>
    </w:tbl>
    <w:p>
      <w:pPr>
        <w:spacing w:line="100" w:lineRule="exact"/>
        <w:rPr>
          <w:rFonts w:eastAsia="楷体_GB2312"/>
        </w:rPr>
      </w:pPr>
    </w:p>
    <w:p>
      <w:pPr>
        <w:spacing w:line="600" w:lineRule="exact"/>
        <w:ind w:firstLine="360" w:firstLineChars="150"/>
        <w:rPr>
          <w:sz w:val="24"/>
        </w:rPr>
      </w:pPr>
      <w:r>
        <w:rPr>
          <w:rFonts w:hint="eastAsia"/>
          <w:sz w:val="24"/>
        </w:rPr>
        <w:t>投标人：（盖章）</w:t>
      </w:r>
    </w:p>
    <w:p>
      <w:pPr>
        <w:spacing w:line="600" w:lineRule="exact"/>
        <w:ind w:firstLine="360" w:firstLineChars="150"/>
        <w:rPr>
          <w:sz w:val="24"/>
        </w:rPr>
      </w:pPr>
      <w:r>
        <w:rPr>
          <w:rFonts w:hint="eastAsia"/>
          <w:sz w:val="24"/>
        </w:rPr>
        <w:t>法定代表人（或委托代理人）：（签字）</w:t>
      </w:r>
    </w:p>
    <w:p>
      <w:pPr>
        <w:spacing w:line="600" w:lineRule="exact"/>
        <w:ind w:firstLine="360" w:firstLineChars="150"/>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240" w:lineRule="exact"/>
        <w:ind w:firstLine="235" w:firstLineChars="98"/>
        <w:rPr>
          <w:sz w:val="24"/>
        </w:rPr>
      </w:pPr>
    </w:p>
    <w:p>
      <w:pPr>
        <w:snapToGrid w:val="0"/>
        <w:spacing w:line="360" w:lineRule="auto"/>
        <w:ind w:left="482" w:hanging="482" w:hangingChars="200"/>
        <w:rPr>
          <w:b/>
          <w:u w:val="single"/>
        </w:rPr>
      </w:pPr>
      <w:r>
        <w:rPr>
          <w:rFonts w:hint="eastAsia"/>
          <w:b/>
          <w:sz w:val="24"/>
        </w:rPr>
        <w:t>附：</w:t>
      </w:r>
      <w:r>
        <w:rPr>
          <w:rFonts w:hint="eastAsia"/>
          <w:b/>
          <w:u w:val="single"/>
        </w:rPr>
        <w:t>应附投标人近三年（</w:t>
      </w:r>
      <w:r>
        <w:rPr>
          <w:rFonts w:hint="eastAsia"/>
          <w:b/>
          <w:sz w:val="22"/>
          <w:u w:val="single"/>
        </w:rPr>
        <w:t>2020年、2021、2022</w:t>
      </w:r>
      <w:r>
        <w:rPr>
          <w:rFonts w:hint="eastAsia"/>
          <w:b/>
          <w:u w:val="single"/>
        </w:rPr>
        <w:t>年）的财务报表：应附经会计师事务所或审计机构审计的财务会计报表，包括资产负债表、现金流量表、利润表等材料的复印件（加盖单位公章）。</w:t>
      </w:r>
    </w:p>
    <w:p>
      <w:pPr>
        <w:pStyle w:val="31"/>
        <w:rPr>
          <w:rFonts w:ascii="Times New Roman" w:hAnsi="Times New Roman"/>
        </w:rPr>
      </w:pPr>
    </w:p>
    <w:p>
      <w:pPr>
        <w:pStyle w:val="32"/>
        <w:ind w:left="1747" w:firstLine="412"/>
        <w:rPr>
          <w:rFonts w:ascii="Times New Roman" w:hAnsi="Times New Roman"/>
        </w:rPr>
      </w:pPr>
    </w:p>
    <w:p>
      <w:pPr>
        <w:pStyle w:val="33"/>
        <w:ind w:left="67" w:firstLine="480"/>
      </w:pPr>
    </w:p>
    <w:p>
      <w:pPr>
        <w:pStyle w:val="33"/>
        <w:ind w:left="67" w:firstLine="480"/>
      </w:pPr>
    </w:p>
    <w:p/>
    <w:p>
      <w:pPr>
        <w:pStyle w:val="5"/>
        <w:numPr>
          <w:ilvl w:val="0"/>
          <w:numId w:val="0"/>
        </w:numPr>
        <w:spacing w:before="120" w:after="120" w:line="560" w:lineRule="exact"/>
        <w:rPr>
          <w:rFonts w:cs="宋体"/>
          <w:bCs w:val="0"/>
          <w:sz w:val="24"/>
          <w:szCs w:val="24"/>
        </w:rPr>
      </w:pPr>
      <w:bookmarkStart w:id="492" w:name="_Toc13986"/>
      <w:bookmarkStart w:id="493" w:name="_Toc518655813"/>
      <w:bookmarkStart w:id="494" w:name="_Toc28878"/>
      <w:bookmarkStart w:id="495" w:name="_Toc28044"/>
      <w:bookmarkStart w:id="496" w:name="_Toc51786921"/>
      <w:bookmarkStart w:id="497" w:name="_Toc26847"/>
      <w:bookmarkStart w:id="498" w:name="_Toc353881021"/>
      <w:bookmarkStart w:id="499" w:name="_Toc424118190"/>
      <w:r>
        <w:rPr>
          <w:rFonts w:hint="eastAsia" w:cs="宋体"/>
          <w:bCs w:val="0"/>
          <w:sz w:val="24"/>
          <w:szCs w:val="24"/>
        </w:rPr>
        <w:t>附件九：服务承诺函</w:t>
      </w:r>
      <w:bookmarkEnd w:id="492"/>
      <w:bookmarkEnd w:id="493"/>
      <w:bookmarkEnd w:id="494"/>
      <w:bookmarkEnd w:id="495"/>
      <w:bookmarkEnd w:id="496"/>
      <w:bookmarkEnd w:id="497"/>
      <w:bookmarkEnd w:id="498"/>
      <w:bookmarkEnd w:id="499"/>
    </w:p>
    <w:p>
      <w:pPr>
        <w:pStyle w:val="31"/>
        <w:spacing w:after="0" w:line="460" w:lineRule="exact"/>
        <w:jc w:val="center"/>
        <w:rPr>
          <w:rFonts w:ascii="Times New Roman" w:hAnsi="Times New Roman" w:cs="宋体"/>
          <w:b/>
          <w:bCs/>
          <w:sz w:val="32"/>
          <w:szCs w:val="32"/>
        </w:rPr>
      </w:pPr>
      <w:r>
        <w:rPr>
          <w:rFonts w:hint="eastAsia" w:ascii="Times New Roman" w:hAnsi="Times New Roman" w:cs="宋体"/>
          <w:b/>
          <w:bCs/>
          <w:sz w:val="32"/>
          <w:szCs w:val="32"/>
        </w:rPr>
        <w:t>服务承诺函</w:t>
      </w:r>
    </w:p>
    <w:p>
      <w:pPr>
        <w:spacing w:line="240" w:lineRule="exact"/>
        <w:jc w:val="center"/>
        <w:rPr>
          <w:b/>
          <w:bCs/>
          <w:sz w:val="36"/>
        </w:rPr>
      </w:pPr>
    </w:p>
    <w:p>
      <w:pPr>
        <w:spacing w:line="360" w:lineRule="auto"/>
        <w:rPr>
          <w:sz w:val="24"/>
          <w:u w:val="single"/>
        </w:rPr>
      </w:pPr>
      <w:r>
        <w:rPr>
          <w:rFonts w:hint="eastAsia"/>
          <w:sz w:val="24"/>
        </w:rPr>
        <w:t>项目名称：</w:t>
      </w:r>
      <w:r>
        <w:rPr>
          <w:rFonts w:hint="eastAsia"/>
          <w:sz w:val="24"/>
          <w:u w:val="single"/>
        </w:rPr>
        <w:t xml:space="preserve">               </w:t>
      </w:r>
    </w:p>
    <w:p>
      <w:pPr>
        <w:pStyle w:val="46"/>
        <w:adjustRightInd w:val="0"/>
        <w:snapToGrid w:val="0"/>
        <w:spacing w:before="72" w:beforeLines="30" w:line="460" w:lineRule="exact"/>
        <w:ind w:left="0" w:leftChars="0"/>
        <w:rPr>
          <w:rFonts w:ascii="Times New Roman" w:hAnsi="Times New Roman"/>
          <w:i/>
          <w:iCs/>
          <w:sz w:val="24"/>
        </w:rPr>
      </w:pPr>
      <w:r>
        <w:rPr>
          <w:rFonts w:hint="eastAsia" w:ascii="Times New Roman" w:hAnsi="Times New Roman"/>
          <w:sz w:val="24"/>
          <w:u w:val="single"/>
        </w:rPr>
        <w:t xml:space="preserve">        公司:</w:t>
      </w:r>
      <w:r>
        <w:rPr>
          <w:rFonts w:hint="eastAsia" w:ascii="Times New Roman" w:hAnsi="Times New Roman"/>
          <w:i/>
          <w:iCs/>
          <w:sz w:val="24"/>
        </w:rPr>
        <w:t>（招标人全称）</w:t>
      </w:r>
    </w:p>
    <w:p>
      <w:pPr>
        <w:spacing w:line="360" w:lineRule="auto"/>
        <w:ind w:firstLine="480"/>
        <w:rPr>
          <w:sz w:val="24"/>
        </w:rPr>
      </w:pPr>
      <w:r>
        <w:rPr>
          <w:rFonts w:hint="eastAsia"/>
          <w:sz w:val="24"/>
        </w:rPr>
        <w:t>我代表（投标人名称）对中标合同产品的服务作如下承诺：</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p>
    <w:p>
      <w:pPr>
        <w:spacing w:line="660" w:lineRule="exact"/>
        <w:rPr>
          <w:sz w:val="24"/>
        </w:rPr>
      </w:pPr>
      <w:r>
        <w:rPr>
          <w:rFonts w:hint="eastAsia"/>
          <w:sz w:val="24"/>
        </w:rPr>
        <w:t>投标人：（盖章）</w:t>
      </w:r>
    </w:p>
    <w:p>
      <w:pPr>
        <w:spacing w:line="660" w:lineRule="exact"/>
        <w:rPr>
          <w:sz w:val="24"/>
        </w:rPr>
      </w:pPr>
      <w:r>
        <w:rPr>
          <w:rFonts w:hint="eastAsia"/>
          <w:sz w:val="24"/>
        </w:rPr>
        <w:t>法定代表人（委托代理人）：（签字）</w:t>
      </w:r>
    </w:p>
    <w:p>
      <w:pPr>
        <w:spacing w:line="660" w:lineRule="exact"/>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pStyle w:val="31"/>
      </w:pPr>
    </w:p>
    <w:p>
      <w:pPr>
        <w:pStyle w:val="5"/>
        <w:numPr>
          <w:ilvl w:val="0"/>
          <w:numId w:val="0"/>
        </w:numPr>
        <w:spacing w:before="120" w:after="120" w:line="560" w:lineRule="exact"/>
        <w:rPr>
          <w:rFonts w:cs="宋体"/>
          <w:bCs w:val="0"/>
          <w:sz w:val="24"/>
          <w:szCs w:val="24"/>
        </w:rPr>
      </w:pPr>
      <w:bookmarkStart w:id="500" w:name="_Toc762"/>
      <w:bookmarkStart w:id="501" w:name="_Toc518655814"/>
      <w:bookmarkStart w:id="502" w:name="_Toc3223"/>
      <w:bookmarkStart w:id="503" w:name="_Toc9193"/>
      <w:bookmarkStart w:id="504" w:name="_Toc353881022"/>
      <w:bookmarkStart w:id="505" w:name="_Toc424118191"/>
      <w:bookmarkStart w:id="506" w:name="_Toc12294"/>
      <w:bookmarkStart w:id="507" w:name="_Toc51786922"/>
      <w:r>
        <w:rPr>
          <w:rFonts w:hint="eastAsia" w:cs="宋体"/>
          <w:bCs w:val="0"/>
          <w:sz w:val="24"/>
          <w:szCs w:val="24"/>
        </w:rPr>
        <w:t>附件十：设备质量承诺函</w:t>
      </w:r>
      <w:bookmarkEnd w:id="500"/>
      <w:bookmarkEnd w:id="501"/>
      <w:bookmarkEnd w:id="502"/>
      <w:bookmarkEnd w:id="503"/>
      <w:bookmarkEnd w:id="504"/>
      <w:bookmarkEnd w:id="505"/>
      <w:bookmarkEnd w:id="506"/>
      <w:bookmarkEnd w:id="507"/>
    </w:p>
    <w:p>
      <w:pPr>
        <w:pStyle w:val="31"/>
        <w:spacing w:after="0" w:line="460" w:lineRule="exact"/>
        <w:jc w:val="center"/>
        <w:rPr>
          <w:rFonts w:ascii="Times New Roman" w:hAnsi="Times New Roman" w:cs="宋体"/>
          <w:b/>
          <w:bCs/>
          <w:sz w:val="32"/>
          <w:szCs w:val="32"/>
        </w:rPr>
      </w:pPr>
      <w:r>
        <w:rPr>
          <w:rFonts w:hint="eastAsia" w:ascii="Times New Roman" w:hAnsi="Times New Roman" w:cs="宋体"/>
          <w:b/>
          <w:bCs/>
          <w:sz w:val="32"/>
          <w:szCs w:val="32"/>
        </w:rPr>
        <w:t>质量承诺函</w:t>
      </w:r>
    </w:p>
    <w:p>
      <w:pPr>
        <w:spacing w:line="240" w:lineRule="exact"/>
      </w:pPr>
      <w:r>
        <w:rPr>
          <w:rFonts w:hint="eastAsia"/>
        </w:rPr>
        <w:t xml:space="preserve">                                               </w:t>
      </w:r>
    </w:p>
    <w:p>
      <w:pPr>
        <w:spacing w:line="360" w:lineRule="auto"/>
        <w:rPr>
          <w:sz w:val="24"/>
          <w:u w:val="single"/>
        </w:rPr>
      </w:pPr>
      <w:r>
        <w:rPr>
          <w:rFonts w:hint="eastAsia"/>
          <w:sz w:val="24"/>
        </w:rPr>
        <w:t xml:space="preserve">项目名称: </w:t>
      </w:r>
      <w:r>
        <w:rPr>
          <w:rFonts w:hint="eastAsia"/>
          <w:sz w:val="24"/>
          <w:u w:val="single"/>
        </w:rPr>
        <w:t xml:space="preserve">                         </w:t>
      </w:r>
    </w:p>
    <w:p>
      <w:pPr>
        <w:pStyle w:val="46"/>
        <w:adjustRightInd w:val="0"/>
        <w:snapToGrid w:val="0"/>
        <w:spacing w:before="72" w:beforeLines="30" w:line="460" w:lineRule="exact"/>
        <w:ind w:left="0" w:leftChars="0"/>
        <w:rPr>
          <w:rFonts w:ascii="Times New Roman" w:hAnsi="Times New Roman"/>
          <w:i/>
          <w:iCs/>
          <w:sz w:val="24"/>
        </w:rPr>
      </w:pPr>
      <w:r>
        <w:rPr>
          <w:rFonts w:hint="eastAsia" w:ascii="Times New Roman" w:hAnsi="Times New Roman"/>
          <w:sz w:val="24"/>
          <w:u w:val="single"/>
        </w:rPr>
        <w:t xml:space="preserve">        公司:</w:t>
      </w:r>
      <w:r>
        <w:rPr>
          <w:rFonts w:hint="eastAsia" w:ascii="Times New Roman" w:hAnsi="Times New Roman"/>
          <w:i/>
          <w:iCs/>
          <w:sz w:val="24"/>
        </w:rPr>
        <w:t>（招标人全称）</w:t>
      </w:r>
    </w:p>
    <w:p>
      <w:pPr>
        <w:spacing w:line="360" w:lineRule="auto"/>
        <w:ind w:firstLine="480" w:firstLineChars="200"/>
        <w:rPr>
          <w:sz w:val="24"/>
        </w:rPr>
      </w:pPr>
      <w:r>
        <w:rPr>
          <w:rFonts w:hint="eastAsia"/>
          <w:sz w:val="24"/>
        </w:rPr>
        <w:t>我代表(投标人名称)为保证中标产品的质量特作如下承诺：</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firstLine="480" w:firstLineChars="200"/>
        <w:rPr>
          <w:sz w:val="24"/>
          <w:u w:val="single"/>
        </w:rPr>
      </w:pPr>
      <w:r>
        <w:rPr>
          <w:rFonts w:hint="eastAsia"/>
          <w:sz w:val="24"/>
          <w:u w:val="single"/>
        </w:rPr>
        <w:t xml:space="preserve">                                                                       </w:t>
      </w:r>
    </w:p>
    <w:p>
      <w:pPr>
        <w:spacing w:line="360" w:lineRule="auto"/>
        <w:ind w:left="480"/>
        <w:rPr>
          <w:sz w:val="24"/>
        </w:rPr>
      </w:pPr>
      <w:r>
        <w:rPr>
          <w:rFonts w:hint="eastAsia"/>
          <w:sz w:val="24"/>
        </w:rPr>
        <w:t xml:space="preserve">                           </w:t>
      </w:r>
    </w:p>
    <w:p>
      <w:pPr>
        <w:spacing w:line="660" w:lineRule="exact"/>
        <w:rPr>
          <w:sz w:val="24"/>
        </w:rPr>
      </w:pPr>
      <w:r>
        <w:rPr>
          <w:rFonts w:hint="eastAsia"/>
          <w:sz w:val="24"/>
        </w:rPr>
        <w:t>投标人：（盖章）</w:t>
      </w:r>
    </w:p>
    <w:p>
      <w:pPr>
        <w:spacing w:line="660" w:lineRule="exact"/>
        <w:rPr>
          <w:sz w:val="24"/>
        </w:rPr>
      </w:pPr>
      <w:r>
        <w:rPr>
          <w:rFonts w:hint="eastAsia"/>
          <w:sz w:val="24"/>
        </w:rPr>
        <w:t>法定代表人（委托代理人）：（签字）</w:t>
      </w:r>
    </w:p>
    <w:p>
      <w:pPr>
        <w:spacing w:line="660" w:lineRule="exact"/>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cs="宋体"/>
          <w:b/>
          <w:bCs/>
          <w:sz w:val="24"/>
          <w:szCs w:val="24"/>
        </w:rPr>
        <w:br w:type="page"/>
      </w:r>
      <w:r>
        <w:rPr>
          <w:rFonts w:hint="eastAsia" w:cs="宋体"/>
          <w:b/>
          <w:kern w:val="0"/>
          <w:sz w:val="24"/>
          <w:szCs w:val="24"/>
        </w:rPr>
        <w:t>附件十一：备品备件、易损件和专用耗材明细表</w:t>
      </w:r>
    </w:p>
    <w:p>
      <w:pPr>
        <w:jc w:val="right"/>
      </w:pPr>
      <w:r>
        <w:rPr>
          <w:rFonts w:hint="eastAsia"/>
          <w:bCs/>
          <w:sz w:val="24"/>
        </w:rPr>
        <w:t>单位：元</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72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r>
              <w:rPr>
                <w:rFonts w:hint="eastAsia" w:ascii="Times New Roman" w:hAnsi="Times New Roman" w:eastAsia="宋体"/>
              </w:rPr>
              <w:t>序号</w:t>
            </w:r>
          </w:p>
        </w:tc>
        <w:tc>
          <w:tcPr>
            <w:tcW w:w="1924" w:type="dxa"/>
          </w:tcPr>
          <w:p>
            <w:pPr>
              <w:pStyle w:val="364"/>
              <w:rPr>
                <w:rFonts w:ascii="Times New Roman" w:hAnsi="Times New Roman" w:eastAsia="宋体"/>
              </w:rPr>
            </w:pPr>
            <w:r>
              <w:rPr>
                <w:rFonts w:hint="eastAsia" w:ascii="Times New Roman" w:hAnsi="Times New Roman" w:eastAsia="宋体"/>
              </w:rPr>
              <w:t>名称</w:t>
            </w:r>
          </w:p>
        </w:tc>
        <w:tc>
          <w:tcPr>
            <w:tcW w:w="1236" w:type="dxa"/>
          </w:tcPr>
          <w:p>
            <w:pPr>
              <w:pStyle w:val="364"/>
              <w:rPr>
                <w:rFonts w:ascii="Times New Roman" w:hAnsi="Times New Roman" w:eastAsia="宋体"/>
              </w:rPr>
            </w:pPr>
            <w:r>
              <w:rPr>
                <w:rFonts w:hint="eastAsia" w:ascii="Times New Roman" w:hAnsi="Times New Roman" w:eastAsia="宋体"/>
              </w:rPr>
              <w:t>型号规格</w:t>
            </w:r>
          </w:p>
        </w:tc>
        <w:tc>
          <w:tcPr>
            <w:tcW w:w="720" w:type="dxa"/>
          </w:tcPr>
          <w:p>
            <w:pPr>
              <w:pStyle w:val="364"/>
              <w:rPr>
                <w:rFonts w:ascii="Times New Roman" w:hAnsi="Times New Roman" w:eastAsia="宋体"/>
              </w:rPr>
            </w:pPr>
            <w:r>
              <w:rPr>
                <w:rFonts w:hint="eastAsia" w:ascii="Times New Roman" w:hAnsi="Times New Roman" w:eastAsia="宋体"/>
              </w:rPr>
              <w:t>单位</w:t>
            </w:r>
          </w:p>
        </w:tc>
        <w:tc>
          <w:tcPr>
            <w:tcW w:w="720" w:type="dxa"/>
          </w:tcPr>
          <w:p>
            <w:pPr>
              <w:pStyle w:val="364"/>
              <w:rPr>
                <w:rFonts w:ascii="Times New Roman" w:hAnsi="Times New Roman" w:eastAsia="宋体"/>
              </w:rPr>
            </w:pPr>
            <w:r>
              <w:rPr>
                <w:rFonts w:hint="eastAsia" w:ascii="Times New Roman" w:hAnsi="Times New Roman" w:eastAsia="宋体"/>
              </w:rPr>
              <w:t>数量</w:t>
            </w:r>
          </w:p>
        </w:tc>
        <w:tc>
          <w:tcPr>
            <w:tcW w:w="720" w:type="dxa"/>
          </w:tcPr>
          <w:p>
            <w:pPr>
              <w:pStyle w:val="364"/>
              <w:rPr>
                <w:rFonts w:ascii="Times New Roman" w:hAnsi="Times New Roman" w:eastAsia="宋体"/>
              </w:rPr>
            </w:pPr>
            <w:r>
              <w:rPr>
                <w:rFonts w:hint="eastAsia" w:ascii="Times New Roman" w:hAnsi="Times New Roman" w:eastAsia="宋体"/>
              </w:rPr>
              <w:t>单价</w:t>
            </w:r>
          </w:p>
        </w:tc>
        <w:tc>
          <w:tcPr>
            <w:tcW w:w="720" w:type="dxa"/>
          </w:tcPr>
          <w:p>
            <w:pPr>
              <w:pStyle w:val="364"/>
              <w:rPr>
                <w:rFonts w:ascii="Times New Roman" w:hAnsi="Times New Roman" w:eastAsia="宋体"/>
              </w:rPr>
            </w:pPr>
            <w:r>
              <w:rPr>
                <w:rFonts w:hint="eastAsia" w:ascii="Times New Roman" w:hAnsi="Times New Roman" w:eastAsia="宋体"/>
              </w:rPr>
              <w:t>总价</w:t>
            </w:r>
          </w:p>
        </w:tc>
        <w:tc>
          <w:tcPr>
            <w:tcW w:w="2235" w:type="dxa"/>
          </w:tcPr>
          <w:p>
            <w:pPr>
              <w:pStyle w:val="364"/>
              <w:rPr>
                <w:rFonts w:ascii="Times New Roman" w:hAnsi="Times New Roman" w:eastAsia="宋体"/>
              </w:rPr>
            </w:pPr>
            <w:r>
              <w:rPr>
                <w:rFonts w:hint="eastAsia" w:ascii="Times New Roman" w:hAnsi="Times New Roman" w:eastAsia="宋体"/>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pStyle w:val="364"/>
              <w:rPr>
                <w:rFonts w:ascii="Times New Roman" w:hAnsi="Times New Roman" w:eastAsia="宋体"/>
              </w:rPr>
            </w:pPr>
          </w:p>
        </w:tc>
        <w:tc>
          <w:tcPr>
            <w:tcW w:w="1924" w:type="dxa"/>
          </w:tcPr>
          <w:p>
            <w:pPr>
              <w:pStyle w:val="364"/>
              <w:rPr>
                <w:rFonts w:ascii="Times New Roman" w:hAnsi="Times New Roman" w:eastAsia="宋体"/>
              </w:rPr>
            </w:pPr>
          </w:p>
        </w:tc>
        <w:tc>
          <w:tcPr>
            <w:tcW w:w="1236"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720" w:type="dxa"/>
          </w:tcPr>
          <w:p>
            <w:pPr>
              <w:pStyle w:val="364"/>
              <w:rPr>
                <w:rFonts w:ascii="Times New Roman" w:hAnsi="Times New Roman" w:eastAsia="宋体"/>
              </w:rPr>
            </w:pPr>
          </w:p>
        </w:tc>
        <w:tc>
          <w:tcPr>
            <w:tcW w:w="2235" w:type="dxa"/>
          </w:tcPr>
          <w:p>
            <w:pPr>
              <w:pStyle w:val="364"/>
              <w:rPr>
                <w:rFonts w:ascii="Times New Roman" w:hAnsi="Times New Roman" w:eastAsia="宋体"/>
              </w:rPr>
            </w:pPr>
          </w:p>
        </w:tc>
      </w:tr>
    </w:tbl>
    <w:p>
      <w:pPr>
        <w:widowControl/>
        <w:jc w:val="left"/>
        <w:rPr>
          <w:rFonts w:cs="宋体"/>
          <w:kern w:val="0"/>
          <w:sz w:val="24"/>
          <w:szCs w:val="24"/>
        </w:rPr>
      </w:pPr>
    </w:p>
    <w:p/>
    <w:p>
      <w:pPr>
        <w:pStyle w:val="5"/>
        <w:numPr>
          <w:ilvl w:val="0"/>
          <w:numId w:val="0"/>
        </w:numPr>
        <w:spacing w:before="120" w:after="120" w:line="560" w:lineRule="exact"/>
        <w:rPr>
          <w:rFonts w:cs="宋体"/>
          <w:sz w:val="24"/>
          <w:szCs w:val="24"/>
        </w:rPr>
      </w:pPr>
      <w:r>
        <w:rPr>
          <w:rFonts w:hint="eastAsia" w:cs="宋体"/>
          <w:sz w:val="24"/>
          <w:szCs w:val="24"/>
        </w:rPr>
        <w:t>附件十二：</w:t>
      </w:r>
      <w:bookmarkStart w:id="508" w:name="_Toc799"/>
      <w:bookmarkStart w:id="509" w:name="_Toc2347"/>
      <w:bookmarkStart w:id="510" w:name="_Toc51786923"/>
      <w:r>
        <w:rPr>
          <w:rFonts w:hint="eastAsia" w:cs="宋体"/>
          <w:sz w:val="24"/>
          <w:szCs w:val="24"/>
        </w:rPr>
        <w:t>投标人认为需要附上的其它佐证材料</w:t>
      </w:r>
    </w:p>
    <w:p>
      <w:pPr>
        <w:rPr>
          <w:rFonts w:cs="宋体"/>
          <w:b/>
          <w:kern w:val="0"/>
          <w:sz w:val="24"/>
          <w:szCs w:val="24"/>
        </w:rPr>
      </w:pPr>
    </w:p>
    <w:p>
      <w:pPr>
        <w:pStyle w:val="31"/>
        <w:rPr>
          <w:rFonts w:cs="宋体"/>
          <w:b/>
          <w:kern w:val="0"/>
          <w:sz w:val="24"/>
          <w:szCs w:val="24"/>
        </w:rPr>
      </w:pPr>
    </w:p>
    <w:p>
      <w:pPr>
        <w:pStyle w:val="32"/>
        <w:ind w:left="1747" w:firstLine="472"/>
        <w:rPr>
          <w:rFonts w:cs="宋体"/>
          <w:b/>
          <w:kern w:val="0"/>
          <w:sz w:val="24"/>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3"/>
        <w:ind w:left="67" w:firstLine="482"/>
        <w:rPr>
          <w:rFonts w:eastAsiaTheme="minorEastAsia"/>
          <w:b/>
          <w:kern w:val="0"/>
          <w:szCs w:val="24"/>
        </w:rPr>
      </w:pPr>
    </w:p>
    <w:p>
      <w:pPr>
        <w:pStyle w:val="32"/>
        <w:ind w:left="1747" w:firstLine="472"/>
        <w:rPr>
          <w:rFonts w:cs="宋体"/>
          <w:b/>
          <w:kern w:val="0"/>
          <w:sz w:val="24"/>
          <w:szCs w:val="24"/>
        </w:rPr>
      </w:pPr>
    </w:p>
    <w:p>
      <w:pPr>
        <w:pStyle w:val="33"/>
        <w:ind w:left="67" w:firstLine="480"/>
      </w:pPr>
    </w:p>
    <w:p>
      <w:pPr>
        <w:pStyle w:val="5"/>
        <w:numPr>
          <w:ilvl w:val="0"/>
          <w:numId w:val="0"/>
        </w:numPr>
        <w:spacing w:before="120" w:after="120" w:line="560" w:lineRule="exact"/>
        <w:rPr>
          <w:rFonts w:cs="宋体"/>
          <w:bCs w:val="0"/>
          <w:sz w:val="24"/>
          <w:szCs w:val="24"/>
        </w:rPr>
      </w:pPr>
      <w:r>
        <w:rPr>
          <w:rFonts w:hint="eastAsia" w:cs="宋体"/>
          <w:bCs w:val="0"/>
          <w:sz w:val="24"/>
          <w:szCs w:val="24"/>
        </w:rPr>
        <w:t>附件十三</w:t>
      </w:r>
      <w:r>
        <w:rPr>
          <w:rFonts w:cs="宋体"/>
          <w:bCs w:val="0"/>
          <w:sz w:val="24"/>
          <w:szCs w:val="24"/>
        </w:rPr>
        <w:t xml:space="preserve">: </w:t>
      </w:r>
      <w:r>
        <w:rPr>
          <w:rFonts w:hint="eastAsia" w:cs="宋体"/>
          <w:bCs w:val="0"/>
          <w:sz w:val="24"/>
          <w:szCs w:val="24"/>
        </w:rPr>
        <w:t>封面格式（参考）</w:t>
      </w:r>
      <w:bookmarkEnd w:id="508"/>
      <w:bookmarkEnd w:id="509"/>
      <w:bookmarkEnd w:id="510"/>
    </w:p>
    <w:p>
      <w:pPr>
        <w:pStyle w:val="32"/>
        <w:spacing w:line="240" w:lineRule="auto"/>
        <w:ind w:left="0" w:leftChars="0" w:firstLine="0" w:firstLineChars="0"/>
        <w:jc w:val="center"/>
        <w:rPr>
          <w:rFonts w:ascii="Times New Roman" w:hAnsi="Times New Roman"/>
        </w:rPr>
      </w:pPr>
      <w:r>
        <w:rPr>
          <w:rFonts w:hint="eastAsia" w:ascii="Times New Roman" w:hAnsi="Times New Roman" w:cs="宋体"/>
          <w:b/>
          <w:bCs/>
          <w:sz w:val="32"/>
          <w:szCs w:val="32"/>
        </w:rPr>
        <w:t>封面格式（参考）</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tcPr>
          <w:p>
            <w:pPr>
              <w:pStyle w:val="32"/>
              <w:spacing w:line="240" w:lineRule="auto"/>
              <w:ind w:left="0" w:leftChars="0" w:firstLine="0" w:firstLineChars="0"/>
              <w:jc w:val="left"/>
              <w:rPr>
                <w:rFonts w:ascii="Times New Roman" w:hAnsi="Times New Roman"/>
                <w:sz w:val="30"/>
                <w:szCs w:val="30"/>
              </w:rPr>
            </w:pPr>
            <w:r>
              <w:rPr>
                <w:rFonts w:hint="eastAsia" w:ascii="Times New Roman" w:hAnsi="Times New Roman" w:cs="宋体"/>
                <w:b/>
                <w:bCs/>
                <w:sz w:val="30"/>
                <w:szCs w:val="30"/>
              </w:rPr>
              <w:t>技术（商务）标书（正本）</w:t>
            </w:r>
          </w:p>
          <w:p>
            <w:pPr>
              <w:pStyle w:val="32"/>
              <w:spacing w:line="240" w:lineRule="auto"/>
              <w:ind w:left="1747" w:firstLine="353"/>
              <w:jc w:val="left"/>
              <w:rPr>
                <w:rFonts w:ascii="Times New Roman" w:hAnsi="Times New Roman"/>
                <w:sz w:val="18"/>
                <w:szCs w:val="18"/>
              </w:rPr>
            </w:pP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项目编号：</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项目名称：</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投标人名称（公章）：</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地址：</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电话：</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传真：</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邮编：</w:t>
            </w:r>
            <w:r>
              <w:rPr>
                <w:rFonts w:ascii="Times New Roman" w:hAnsi="Times New Roman" w:cs="宋体"/>
                <w:sz w:val="32"/>
                <w:szCs w:val="32"/>
              </w:rPr>
              <w:t xml:space="preserve"> </w:t>
            </w:r>
          </w:p>
        </w:tc>
        <w:tc>
          <w:tcPr>
            <w:tcW w:w="4775" w:type="dxa"/>
          </w:tcPr>
          <w:p>
            <w:pPr>
              <w:pStyle w:val="32"/>
              <w:spacing w:line="240" w:lineRule="auto"/>
              <w:ind w:left="0" w:leftChars="0" w:firstLine="0" w:firstLineChars="0"/>
              <w:jc w:val="left"/>
              <w:rPr>
                <w:rFonts w:ascii="Times New Roman" w:hAnsi="Times New Roman"/>
                <w:sz w:val="30"/>
                <w:szCs w:val="30"/>
              </w:rPr>
            </w:pPr>
            <w:r>
              <w:rPr>
                <w:rFonts w:hint="eastAsia" w:ascii="Times New Roman" w:hAnsi="Times New Roman" w:cs="宋体"/>
                <w:b/>
                <w:bCs/>
                <w:sz w:val="30"/>
                <w:szCs w:val="30"/>
              </w:rPr>
              <w:t>技术（商务）标书（副本）</w:t>
            </w:r>
          </w:p>
          <w:p>
            <w:pPr>
              <w:pStyle w:val="32"/>
              <w:spacing w:line="240" w:lineRule="auto"/>
              <w:ind w:left="1747" w:firstLine="353"/>
              <w:jc w:val="left"/>
              <w:rPr>
                <w:rFonts w:ascii="Times New Roman" w:hAnsi="Times New Roman"/>
                <w:sz w:val="18"/>
                <w:szCs w:val="18"/>
              </w:rPr>
            </w:pP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项目编号：</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项目名称：</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投标人名称（公章）：</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地址：</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电话：</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传真：</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邮编：</w:t>
            </w:r>
            <w:r>
              <w:rPr>
                <w:rFonts w:ascii="Times New Roman" w:hAnsi="Times New Roman" w:cs="宋体"/>
                <w:sz w:val="32"/>
                <w:szCs w:val="32"/>
              </w:rPr>
              <w:t xml:space="preserve"> </w:t>
            </w:r>
          </w:p>
        </w:tc>
      </w:tr>
    </w:tbl>
    <w:p>
      <w:pPr>
        <w:pStyle w:val="32"/>
        <w:spacing w:line="240" w:lineRule="auto"/>
        <w:ind w:left="1747" w:firstLine="412"/>
        <w:rPr>
          <w:rFonts w:ascii="Times New Roman" w:hAnsi="Times New Roman"/>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285" w:type="dxa"/>
          </w:tcPr>
          <w:p>
            <w:pPr>
              <w:pStyle w:val="32"/>
              <w:spacing w:line="400" w:lineRule="exact"/>
              <w:ind w:left="0" w:leftChars="0" w:firstLine="0" w:firstLineChars="0"/>
              <w:jc w:val="left"/>
              <w:rPr>
                <w:rFonts w:ascii="Times New Roman" w:hAnsi="Times New Roman"/>
                <w:sz w:val="24"/>
                <w:szCs w:val="24"/>
              </w:rPr>
            </w:pPr>
          </w:p>
          <w:p>
            <w:pPr>
              <w:pStyle w:val="32"/>
              <w:spacing w:line="240" w:lineRule="auto"/>
              <w:ind w:left="0" w:leftChars="0" w:firstLine="0" w:firstLineChars="0"/>
              <w:jc w:val="left"/>
              <w:rPr>
                <w:rFonts w:ascii="Times New Roman" w:hAnsi="Times New Roman"/>
                <w:sz w:val="24"/>
                <w:szCs w:val="24"/>
              </w:rPr>
            </w:pPr>
            <w:r>
              <w:rPr>
                <w:rFonts w:hint="eastAsia" w:ascii="Times New Roman" w:hAnsi="Times New Roman" w:cs="宋体"/>
                <w:b/>
                <w:bCs/>
                <w:sz w:val="30"/>
                <w:szCs w:val="30"/>
              </w:rPr>
              <w:t>报价一览表</w:t>
            </w:r>
            <w:r>
              <w:rPr>
                <w:rFonts w:ascii="Times New Roman" w:hAnsi="Times New Roman" w:cs="宋体"/>
                <w:b/>
                <w:bCs/>
                <w:sz w:val="30"/>
                <w:szCs w:val="30"/>
              </w:rPr>
              <w:t xml:space="preserve">  </w:t>
            </w:r>
            <w:r>
              <w:rPr>
                <w:rFonts w:ascii="Times New Roman" w:hAnsi="Times New Roman" w:cs="宋体"/>
                <w:sz w:val="24"/>
                <w:szCs w:val="24"/>
              </w:rPr>
              <w:t xml:space="preserve">            </w:t>
            </w:r>
          </w:p>
          <w:p>
            <w:pPr>
              <w:pStyle w:val="32"/>
              <w:spacing w:line="400" w:lineRule="exact"/>
              <w:ind w:left="0" w:leftChars="0" w:firstLine="0" w:firstLineChars="0"/>
              <w:jc w:val="left"/>
              <w:rPr>
                <w:rFonts w:ascii="Times New Roman" w:hAnsi="Times New Roman"/>
                <w:sz w:val="24"/>
                <w:szCs w:val="24"/>
              </w:rPr>
            </w:pP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项目编号：</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项目名称：</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投标人名称（公章）：</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地址：</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电话：</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传真：</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邮编：</w:t>
            </w:r>
          </w:p>
          <w:p>
            <w:pPr>
              <w:pStyle w:val="32"/>
              <w:spacing w:line="400" w:lineRule="exact"/>
              <w:ind w:left="0" w:leftChars="0" w:firstLine="0" w:firstLineChars="0"/>
              <w:jc w:val="left"/>
              <w:rPr>
                <w:rFonts w:ascii="Times New Roman" w:hAnsi="Times New Roman"/>
                <w:sz w:val="24"/>
                <w:szCs w:val="24"/>
              </w:rPr>
            </w:pPr>
          </w:p>
        </w:tc>
        <w:tc>
          <w:tcPr>
            <w:tcW w:w="4775" w:type="dxa"/>
          </w:tcPr>
          <w:p>
            <w:pPr>
              <w:pStyle w:val="32"/>
              <w:spacing w:line="400" w:lineRule="exact"/>
              <w:ind w:left="0" w:leftChars="0" w:firstLine="0" w:firstLineChars="0"/>
              <w:jc w:val="left"/>
              <w:rPr>
                <w:rFonts w:ascii="Times New Roman" w:hAnsi="Times New Roman"/>
                <w:sz w:val="24"/>
                <w:szCs w:val="24"/>
              </w:rPr>
            </w:pPr>
          </w:p>
          <w:p>
            <w:pPr>
              <w:pStyle w:val="32"/>
              <w:spacing w:line="240" w:lineRule="auto"/>
              <w:ind w:left="0" w:leftChars="0" w:firstLine="0" w:firstLineChars="0"/>
              <w:jc w:val="left"/>
              <w:rPr>
                <w:rFonts w:ascii="Times New Roman" w:hAnsi="Times New Roman" w:cs="宋体"/>
                <w:b/>
                <w:bCs/>
                <w:sz w:val="30"/>
                <w:szCs w:val="30"/>
              </w:rPr>
            </w:pPr>
            <w:r>
              <w:rPr>
                <w:rFonts w:hint="eastAsia" w:ascii="Times New Roman" w:hAnsi="Times New Roman" w:cs="宋体"/>
                <w:b/>
                <w:bCs/>
                <w:sz w:val="30"/>
                <w:szCs w:val="30"/>
              </w:rPr>
              <w:t>电子版投标文件</w:t>
            </w:r>
          </w:p>
          <w:p>
            <w:pPr>
              <w:pStyle w:val="32"/>
              <w:spacing w:line="240" w:lineRule="auto"/>
              <w:ind w:left="0" w:leftChars="0" w:firstLine="0" w:firstLineChars="0"/>
              <w:jc w:val="left"/>
              <w:rPr>
                <w:rFonts w:ascii="Times New Roman" w:hAnsi="Times New Roman" w:cs="宋体"/>
                <w:b/>
                <w:bCs/>
                <w:sz w:val="30"/>
                <w:szCs w:val="30"/>
              </w:rPr>
            </w:pP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项目编号：</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项目名称：</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投标人名称（公章）：</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地址：</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电话：</w:t>
            </w:r>
          </w:p>
          <w:p>
            <w:pPr>
              <w:pStyle w:val="32"/>
              <w:spacing w:line="400" w:lineRule="exact"/>
              <w:ind w:left="0" w:leftChars="0" w:firstLine="0" w:firstLineChars="0"/>
              <w:jc w:val="left"/>
              <w:rPr>
                <w:rFonts w:ascii="Times New Roman" w:hAnsi="Times New Roman"/>
                <w:sz w:val="24"/>
                <w:szCs w:val="24"/>
              </w:rPr>
            </w:pPr>
            <w:r>
              <w:rPr>
                <w:rFonts w:hint="eastAsia" w:ascii="Times New Roman" w:hAnsi="Times New Roman" w:cs="宋体"/>
                <w:sz w:val="24"/>
                <w:szCs w:val="24"/>
              </w:rPr>
              <w:t>传真：</w:t>
            </w:r>
          </w:p>
          <w:p>
            <w:pPr>
              <w:pStyle w:val="32"/>
              <w:spacing w:line="240" w:lineRule="auto"/>
              <w:ind w:left="0" w:leftChars="0" w:firstLine="0" w:firstLineChars="0"/>
              <w:jc w:val="left"/>
              <w:rPr>
                <w:rFonts w:ascii="Times New Roman" w:hAnsi="Times New Roman"/>
                <w:sz w:val="24"/>
                <w:szCs w:val="24"/>
              </w:rPr>
            </w:pPr>
            <w:r>
              <w:rPr>
                <w:rFonts w:hint="eastAsia" w:ascii="Times New Roman" w:hAnsi="Times New Roman" w:cs="宋体"/>
                <w:sz w:val="24"/>
                <w:szCs w:val="24"/>
              </w:rPr>
              <w:t>邮编：</w:t>
            </w:r>
          </w:p>
        </w:tc>
      </w:tr>
    </w:tbl>
    <w:p>
      <w:pPr>
        <w:pStyle w:val="32"/>
        <w:spacing w:line="240" w:lineRule="auto"/>
        <w:ind w:left="1747" w:firstLine="412"/>
        <w:rPr>
          <w:rFonts w:ascii="Times New Roman" w:hAnsi="Times New Roman"/>
        </w:rPr>
      </w:pPr>
    </w:p>
    <w:p>
      <w:pPr>
        <w:pStyle w:val="32"/>
        <w:spacing w:line="240" w:lineRule="auto"/>
        <w:ind w:left="0" w:leftChars="0" w:firstLine="0" w:firstLineChars="0"/>
        <w:outlineLvl w:val="1"/>
        <w:rPr>
          <w:rFonts w:ascii="Times New Roman" w:hAnsi="Times New Roman"/>
          <w:b/>
          <w:bCs/>
          <w:sz w:val="32"/>
          <w:szCs w:val="32"/>
        </w:rPr>
      </w:pPr>
      <w:bookmarkStart w:id="511" w:name="_Toc27163"/>
      <w:bookmarkStart w:id="512" w:name="_Toc30669"/>
      <w:r>
        <w:rPr>
          <w:rFonts w:hint="eastAsia" w:ascii="Times New Roman" w:hAnsi="Times New Roman" w:cs="宋体"/>
          <w:b/>
          <w:bCs/>
          <w:sz w:val="32"/>
          <w:szCs w:val="32"/>
        </w:rPr>
        <w:t>封口格式：</w:t>
      </w:r>
      <w:bookmarkEnd w:id="511"/>
      <w:bookmarkEnd w:id="512"/>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pPr>
              <w:pStyle w:val="32"/>
              <w:spacing w:line="240" w:lineRule="auto"/>
              <w:ind w:left="0" w:leftChars="0" w:firstLine="0" w:firstLineChars="0"/>
              <w:rPr>
                <w:rFonts w:ascii="Times New Roman" w:hAnsi="Times New Roman"/>
                <w:sz w:val="24"/>
                <w:szCs w:val="24"/>
              </w:rPr>
            </w:pPr>
            <w:r>
              <w:rPr>
                <w:rFonts w:hint="eastAsia" w:ascii="Times New Roman" w:hAnsi="Times New Roman" w:cs="宋体"/>
                <w:sz w:val="24"/>
                <w:szCs w:val="24"/>
              </w:rPr>
              <w:t>……………………于</w:t>
            </w:r>
            <w:r>
              <w:rPr>
                <w:rFonts w:hint="eastAsia" w:ascii="Times New Roman" w:hAnsi="Times New Roman" w:cs="宋体"/>
                <w:sz w:val="24"/>
                <w:szCs w:val="24"/>
                <w:u w:val="single"/>
              </w:rPr>
              <w:t xml:space="preserve">     </w:t>
            </w:r>
            <w:r>
              <w:rPr>
                <w:rFonts w:ascii="Times New Roman" w:hAnsi="Times New Roman" w:cs="宋体"/>
                <w:sz w:val="24"/>
                <w:szCs w:val="24"/>
              </w:rPr>
              <w:t>年</w:t>
            </w:r>
            <w:r>
              <w:rPr>
                <w:rFonts w:ascii="Times New Roman" w:hAnsi="Times New Roman" w:cs="宋体"/>
                <w:sz w:val="24"/>
                <w:szCs w:val="24"/>
                <w:u w:val="single"/>
              </w:rPr>
              <w:t xml:space="preserve">  </w:t>
            </w:r>
            <w:r>
              <w:rPr>
                <w:rFonts w:hint="eastAsia" w:ascii="Times New Roman" w:hAnsi="Times New Roman" w:cs="宋体"/>
                <w:sz w:val="24"/>
                <w:szCs w:val="24"/>
              </w:rPr>
              <w:t>月</w:t>
            </w:r>
            <w:r>
              <w:rPr>
                <w:rFonts w:ascii="Times New Roman" w:hAnsi="Times New Roman" w:cs="宋体"/>
                <w:sz w:val="24"/>
                <w:szCs w:val="24"/>
                <w:u w:val="single"/>
              </w:rPr>
              <w:t xml:space="preserve">  </w:t>
            </w:r>
            <w:r>
              <w:rPr>
                <w:rFonts w:hint="eastAsia" w:ascii="Times New Roman" w:hAnsi="Times New Roman" w:cs="宋体"/>
                <w:sz w:val="24"/>
                <w:szCs w:val="24"/>
              </w:rPr>
              <w:t>日</w:t>
            </w:r>
            <w:r>
              <w:rPr>
                <w:rFonts w:hint="eastAsia" w:ascii="Times New Roman" w:hAnsi="Times New Roman" w:cs="宋体"/>
                <w:sz w:val="24"/>
                <w:szCs w:val="24"/>
                <w:u w:val="single"/>
              </w:rPr>
              <w:t xml:space="preserve">  </w:t>
            </w:r>
            <w:r>
              <w:rPr>
                <w:rFonts w:hint="eastAsia" w:ascii="Times New Roman" w:hAnsi="Times New Roman" w:cs="宋体"/>
                <w:sz w:val="24"/>
                <w:szCs w:val="24"/>
              </w:rPr>
              <w:t>时之前不准启封（公章）…………………</w:t>
            </w:r>
          </w:p>
        </w:tc>
      </w:tr>
    </w:tbl>
    <w:p>
      <w:pPr>
        <w:pStyle w:val="32"/>
        <w:spacing w:line="240" w:lineRule="auto"/>
        <w:ind w:left="0" w:leftChars="0" w:firstLine="0" w:firstLineChars="0"/>
        <w:rPr>
          <w:rFonts w:ascii="Times New Roman" w:hAnsi="Times New Roman"/>
        </w:rPr>
      </w:pPr>
    </w:p>
    <w:p/>
    <w:p/>
    <w:sectPr>
      <w:pgSz w:w="11907" w:h="16840"/>
      <w:pgMar w:top="1785" w:right="1418" w:bottom="1418" w:left="1418" w:header="724" w:footer="851" w:gutter="0"/>
      <w:cols w:space="720" w:num="1"/>
      <w:docGrid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ew York">
    <w:altName w:val="SAPGUI-Icons"/>
    <w:panose1 w:val="02040503060506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ystem">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p>
  <w:p>
    <w:pPr>
      <w:pStyle w:val="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635" r="635" b="12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5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dGW8cKAgAABAQAAA4AAABkcnMvZTJvRG9jLnhtbK1TS27bMBDdF+gd&#10;CO5rWYlTtILlII3hokD6AZIegKYoi6jIIYa0JfcA7Q266qb7nsvnyJCy3DTdZNENMRwO37z3OJxf&#10;9qZlO4Vegy15PplypqyESttNyT/frV684swHYSvRglUl3yvPLxfPn807V6gzaKCtFDICsb7oXMmb&#10;EFyRZV42ygg/AacsHdaARgTa4iarUHSEbtrsbDp9mXWAlUOQynvKLodDfkTEpwBCXWupliC3Rtkw&#10;oKJqRSBJvtHO80ViW9dKho917VVgbclJaUgrNaF4HddsMRfFBoVrtDxSEE+h8EiTEdpS0xPUUgTB&#10;tqj/gTJaIniow0SCyQYhyRFSkU8feXPbCKeSFrLau5Pp/v/Byg+7T8h0RZNAllhh6MUPP74ffv4+&#10;/PrGKEcGdc4XVHfrqDL0b6Cn4iTWuxuQXzyzcN0Iu1FXiNA1SlREMI83swdXBxwfQdbde6iokdgG&#10;SEB9jSa6R34wQicm+9PjqD4wGVvms9fnF5xJOsrP89nsInUQxXjZoQ9vFRgWg5IjvX0CF7sbHyIZ&#10;UYwlsZeFlW7b9P6t/StBhTGTyEe+A/PQr/ujGWuo9iQDYRgn+kwUNIBfOetolEpu6edw1r6zZESc&#10;ujHAMViPgbCSLpY8cDaE12GYzq1DvWkId7T6isxa6SQkujpwOLKk4Uj6joMcp+/hPlX9+by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nRlvHCgIAAAQEAAAOAAAAAAAAAAEAIAAAAB8BAABk&#10;cnMvZTJvRG9jLnhtbFBLBQYAAAAABgAGAFkBAACbBQAAAAA=&#10;">
              <v:fill on="f" focussize="0,0"/>
              <v:stroke on="f"/>
              <v:imagedata o:title=""/>
              <o:lock v:ext="edit" aspectratio="f"/>
              <v:textbox inset="0mm,0mm,0mm,0mm" style="mso-fit-shape-to-text:t;">
                <w:txbxContent>
                  <w:p>
                    <w:pPr>
                      <w:pStyle w:val="5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635" b="381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50"/>
                          </w:pP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50"/>
                    </w:pP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635" b="38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50"/>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2DHgK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quQXnFlhqOGHH98PP38f&#10;fn1jF9GezvmCsm4d5YX+DfQ0NEmqdzcgv3hm4boRdqOuEKFrlKiIXh5fZg+eDjg+gqy791BRHbEN&#10;kID6Gk30jtxghE6t2Z9ao/rAZCyZz16fE0VJV/l5PpslbpkoxscOfXirwLAYlByp8wlc7G58iGRE&#10;MabEWhZWum1T91v71wElxpNEPvIdmId+3R/NWEO1JxkIwzDRV6KgAfzKWUeDVHJL/4az9p0lI+LM&#10;jQGOwXoMhJX0sOSBsyG8DsNsbh3qTUO4o9VXZNZKJyHR1YHDkSWNRtJ3HOM4ew/3KevP113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9gx4CgIAAAIEAAAOAAAAAAAAAAEAIAAAAB8BAABk&#10;cnMvZTJvRG9jLnhtbFBLBQYAAAAABgAGAFkBAACbBQAAAAA=&#10;">
              <v:fill on="f" focussize="0,0"/>
              <v:stroke on="f"/>
              <v:imagedata o:title=""/>
              <o:lock v:ext="edit" aspectratio="f"/>
              <v:textbox inset="0mm,0mm,0mm,0mm" style="mso-fit-shape-to-text:t;">
                <w:txbxContent>
                  <w:p>
                    <w:pPr>
                      <w:pStyle w:val="5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72085" cy="131445"/>
              <wp:effectExtent l="0" t="0" r="635"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pPr>
                            <w:pStyle w:val="50"/>
                          </w:pPr>
                          <w:r>
                            <w:t xml:space="preserve"> </w:t>
                          </w:r>
                          <w:r>
                            <w:rPr>
                              <w:rFonts w:hint="eastAsia"/>
                            </w:rPr>
                            <w:t>43</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3360;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upGLFQoCAAACBAAADgAAAGRycy9lMm9Eb2MueG1srVPNjtMwEL4j8Q6W&#10;7zRp6cIqarpatipCWn6khQdwHaexiD3W2G1SHgDegBMX7jxXn4Ox05RlueyBizW2x9983zfjxVVv&#10;WrZX6DXYkk8nOWfKSqi03Zb808f1s0vOfBC2Ei1YVfKD8vxq+fTJonOFmkEDbaWQEYj1RedK3oTg&#10;iizzslFG+Ak4ZemyBjQi0Ba3WYWiI3TTZrM8f5F1gJVDkMp7Ol0Nl/yEiI8BhLrWUq1A7oyyYUBF&#10;1YpAknyjnefLxLaulQzv69qrwNqSk9KQVipC8Sau2XIhii0K12h5oiAeQ+GBJiO0paJnqJUIgu1Q&#10;/wNltETwUIeJBJMNQpIjpGKaP/DmrhFOJS1ktXdn0/3/g5Xv9h+Q6arkc86sMNTw4/dvxx+/jj+/&#10;snm0p3O+oKw7R3mhfwU9DU2S6t0tyM+eWbhphN2qa0ToGiUqojeNL7N7TwccH0E23VuoqI7YBUhA&#10;fY0mekduMEKn1hzOrVF9YDKWfDnLLy84k3Q1fT6dzy9S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XQ5c8AAAADAQAADwAAAAAAAAABACAAAAAiAAAAZHJzL2Rv&#10;d25yZXYueG1sUEsBAhQAFAAAAAgAh07iQLqRixUKAgAAAgQAAA4AAAAAAAAAAQAgAAAAHgEAAGRy&#10;cy9lMm9Eb2MueG1sUEsFBgAAAAAGAAYAWQEAAJoFAAAAAA==&#10;">
              <v:fill on="f" focussize="0,0"/>
              <v:stroke on="f"/>
              <v:imagedata o:title=""/>
              <o:lock v:ext="edit" aspectratio="f"/>
              <v:textbox inset="0mm,0mm,0mm,0mm" style="mso-fit-shape-to-text:t;">
                <w:txbxContent>
                  <w:p>
                    <w:pPr>
                      <w:pStyle w:val="50"/>
                    </w:pPr>
                    <w:r>
                      <w:t xml:space="preserve"> </w:t>
                    </w:r>
                    <w:r>
                      <w:rPr>
                        <w:rFonts w:hint="eastAsia"/>
                      </w:rPr>
                      <w:t>43</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tabs>
        <w:tab w:val="center" w:pos="4609"/>
        <w:tab w:val="clear" w:pos="4153"/>
        <w:tab w:val="clear" w:pos="8306"/>
      </w:tabs>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3810" r="63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50"/>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5P1CwK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c2i/Z0zheUdecoL/SvoKehSVK9uwX52TMLN42wW3WNCF2jREX08vgyu/d0wPERZNO9hYrqiF2A&#10;BNTXaKJ35AYjdGrN4dwa1QcmY8l8/nJ2yZmkq3yW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uT9QsCgIAAAIEAAAOAAAAAAAAAAEAIAAAAB8BAABk&#10;cnMvZTJvRG9jLnhtbFBLBQYAAAAABgAGAFkBAACbBQAAAAA=&#10;">
              <v:fill on="f" focussize="0,0"/>
              <v:stroke on="f"/>
              <v:imagedata o:title=""/>
              <o:lock v:ext="edit" aspectratio="f"/>
              <v:textbox inset="0mm,0mm,0mm,0mm" style="mso-fit-shape-to-text:t;">
                <w:txbxContent>
                  <w:p>
                    <w:pPr>
                      <w:pStyle w:val="50"/>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v:textbox>
            </v:shape>
          </w:pict>
        </mc:Fallback>
      </mc:AlternateContent>
    </w:r>
    <w: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0067E"/>
    <w:multiLevelType w:val="multilevel"/>
    <w:tmpl w:val="86E0067E"/>
    <w:lvl w:ilvl="0" w:tentative="0">
      <w:start w:val="1"/>
      <w:numFmt w:val="decimal"/>
      <w:lvlText w:val="%1"/>
      <w:lvlJc w:val="left"/>
      <w:pPr>
        <w:ind w:left="432" w:hanging="432"/>
      </w:pPr>
      <w:rPr>
        <w:rFonts w:hint="eastAsia"/>
      </w:rPr>
    </w:lvl>
    <w:lvl w:ilvl="1" w:tentative="0">
      <w:start w:val="1"/>
      <w:numFmt w:val="decimal"/>
      <w:pStyle w:val="4"/>
      <w:suff w:val="nothing"/>
      <w:lvlText w:val="%1.%2"/>
      <w:lvlJc w:val="left"/>
      <w:pPr>
        <w:tabs>
          <w:tab w:val="left" w:pos="4111"/>
        </w:tabs>
        <w:ind w:left="4111" w:firstLine="0"/>
      </w:pPr>
      <w:rPr>
        <w:rFonts w:hint="default"/>
      </w:rPr>
    </w:lvl>
    <w:lvl w:ilvl="2" w:tentative="0">
      <w:start w:val="1"/>
      <w:numFmt w:val="decimal"/>
      <w:lvlRestart w:val="1"/>
      <w:pStyle w:val="5"/>
      <w:suff w:val="nothing"/>
      <w:lvlText w:val="%1.%2.%3"/>
      <w:lvlJc w:val="left"/>
      <w:pPr>
        <w:tabs>
          <w:tab w:val="left" w:pos="284"/>
        </w:tabs>
        <w:ind w:left="284" w:firstLine="0"/>
      </w:pPr>
      <w:rPr>
        <w:rFonts w:hint="default" w:ascii="Times New Roman" w:hAnsi="Times New Roman"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1.%2.%3.%4"/>
      <w:lvlJc w:val="left"/>
      <w:pPr>
        <w:ind w:left="864" w:hanging="864"/>
      </w:pPr>
      <w:rPr>
        <w:rFonts w:hint="eastAsia"/>
        <w:b w:val="0"/>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EED9AF7A"/>
    <w:multiLevelType w:val="singleLevel"/>
    <w:tmpl w:val="EED9AF7A"/>
    <w:lvl w:ilvl="0" w:tentative="0">
      <w:start w:val="3"/>
      <w:numFmt w:val="decimal"/>
      <w:suff w:val="nothing"/>
      <w:lvlText w:val="%1、"/>
      <w:lvlJc w:val="left"/>
    </w:lvl>
  </w:abstractNum>
  <w:abstractNum w:abstractNumId="2">
    <w:nsid w:val="1A2A62FB"/>
    <w:multiLevelType w:val="multilevel"/>
    <w:tmpl w:val="1A2A62FB"/>
    <w:lvl w:ilvl="0" w:tentative="0">
      <w:start w:val="1"/>
      <w:numFmt w:val="bullet"/>
      <w:pStyle w:val="22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29F5DE5"/>
    <w:multiLevelType w:val="multilevel"/>
    <w:tmpl w:val="229F5DE5"/>
    <w:lvl w:ilvl="0" w:tentative="0">
      <w:start w:val="3"/>
      <w:numFmt w:val="decimal"/>
      <w:pStyle w:val="44"/>
      <w:lvlText w:val="%1．"/>
      <w:lvlJc w:val="left"/>
      <w:pPr>
        <w:tabs>
          <w:tab w:val="left" w:pos="360"/>
        </w:tabs>
        <w:ind w:left="360" w:hanging="360"/>
      </w:pPr>
      <w:rPr>
        <w:rFonts w:hint="default" w:cs="Times New Roman"/>
      </w:rPr>
    </w:lvl>
    <w:lvl w:ilvl="1" w:tentative="0">
      <w:start w:val="1"/>
      <w:numFmt w:val="lowerLetter"/>
      <w:pStyle w:val="286"/>
      <w:lvlText w:val="%2)"/>
      <w:lvlJc w:val="left"/>
      <w:pPr>
        <w:tabs>
          <w:tab w:val="left" w:pos="840"/>
        </w:tabs>
        <w:ind w:left="840" w:hanging="420"/>
      </w:pPr>
      <w:rPr>
        <w:rFonts w:cs="Times New Roman"/>
      </w:rPr>
    </w:lvl>
    <w:lvl w:ilvl="2" w:tentative="0">
      <w:start w:val="1"/>
      <w:numFmt w:val="lowerRoman"/>
      <w:pStyle w:val="164"/>
      <w:lvlText w:val="%3."/>
      <w:lvlJc w:val="right"/>
      <w:pPr>
        <w:tabs>
          <w:tab w:val="left" w:pos="1260"/>
        </w:tabs>
        <w:ind w:left="1260" w:hanging="420"/>
      </w:pPr>
      <w:rPr>
        <w:rFonts w:cs="Times New Roman"/>
      </w:rPr>
    </w:lvl>
    <w:lvl w:ilvl="3" w:tentative="0">
      <w:start w:val="1"/>
      <w:numFmt w:val="decimal"/>
      <w:pStyle w:val="322"/>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pStyle w:val="310"/>
      <w:lvlText w:val="%6."/>
      <w:lvlJc w:val="right"/>
      <w:pPr>
        <w:tabs>
          <w:tab w:val="left" w:pos="2520"/>
        </w:tabs>
        <w:ind w:left="2520" w:hanging="420"/>
      </w:pPr>
      <w:rPr>
        <w:rFonts w:cs="Times New Roman"/>
      </w:rPr>
    </w:lvl>
    <w:lvl w:ilvl="6" w:tentative="0">
      <w:start w:val="1"/>
      <w:numFmt w:val="decimal"/>
      <w:pStyle w:val="341"/>
      <w:lvlText w:val="%7."/>
      <w:lvlJc w:val="left"/>
      <w:pPr>
        <w:tabs>
          <w:tab w:val="left" w:pos="2940"/>
        </w:tabs>
        <w:ind w:left="2940" w:hanging="420"/>
      </w:pPr>
      <w:rPr>
        <w:rFonts w:cs="Times New Roman"/>
      </w:rPr>
    </w:lvl>
    <w:lvl w:ilvl="7" w:tentative="0">
      <w:start w:val="1"/>
      <w:numFmt w:val="lowerLetter"/>
      <w:pStyle w:val="302"/>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6C55CD2"/>
    <w:multiLevelType w:val="multilevel"/>
    <w:tmpl w:val="36C55CD2"/>
    <w:lvl w:ilvl="0" w:tentative="0">
      <w:start w:val="1"/>
      <w:numFmt w:val="decimal"/>
      <w:pStyle w:val="3"/>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3" w:tentative="0">
      <w:start w:val="1"/>
      <w:numFmt w:val="decimal"/>
      <w:pStyle w:val="6"/>
      <w:lvlText w:val="%1.%2.%3.%4"/>
      <w:lvlJc w:val="left"/>
      <w:pPr>
        <w:ind w:left="864" w:hanging="864"/>
      </w:pPr>
      <w:rPr>
        <w:rFonts w:hint="eastAsia"/>
        <w:b w:val="0"/>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5CBF4B38"/>
    <w:multiLevelType w:val="singleLevel"/>
    <w:tmpl w:val="5CBF4B38"/>
    <w:lvl w:ilvl="0" w:tentative="0">
      <w:start w:val="1"/>
      <w:numFmt w:val="bullet"/>
      <w:pStyle w:val="349"/>
      <w:lvlText w:val="-"/>
      <w:lvlJc w:val="left"/>
      <w:pPr>
        <w:tabs>
          <w:tab w:val="left" w:pos="360"/>
        </w:tabs>
        <w:ind w:left="360" w:hanging="360"/>
      </w:pPr>
      <w:rPr>
        <w:sz w:val="16"/>
      </w:rPr>
    </w:lvl>
  </w:abstractNum>
  <w:abstractNum w:abstractNumId="6">
    <w:nsid w:val="5D7A57DD"/>
    <w:multiLevelType w:val="multilevel"/>
    <w:tmpl w:val="5D7A57DD"/>
    <w:lvl w:ilvl="0" w:tentative="0">
      <w:start w:val="1"/>
      <w:numFmt w:val="decimal"/>
      <w:lvlText w:val="%1、"/>
      <w:lvlJc w:val="left"/>
      <w:pPr>
        <w:tabs>
          <w:tab w:val="left" w:pos="840"/>
        </w:tabs>
        <w:ind w:left="840" w:hanging="360"/>
      </w:pPr>
      <w:rPr>
        <w:rFonts w:hint="default"/>
      </w:rPr>
    </w:lvl>
    <w:lvl w:ilvl="1" w:tentative="0">
      <w:start w:val="1"/>
      <w:numFmt w:val="lowerLetter"/>
      <w:pStyle w:val="347"/>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0"/>
  </w:num>
  <w:num w:numId="3">
    <w:abstractNumId w:val="3"/>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MWIxOTJjYjZjNDAyY2Y0MDRhNTJiZmQ5ZWZiMGQifQ=="/>
  </w:docVars>
  <w:rsids>
    <w:rsidRoot w:val="009F0DCA"/>
    <w:rsid w:val="00007351"/>
    <w:rsid w:val="00011A90"/>
    <w:rsid w:val="00024A2C"/>
    <w:rsid w:val="0003217F"/>
    <w:rsid w:val="00083BA7"/>
    <w:rsid w:val="000B0F81"/>
    <w:rsid w:val="000B3FC0"/>
    <w:rsid w:val="000D5782"/>
    <w:rsid w:val="000E00DB"/>
    <w:rsid w:val="000F002B"/>
    <w:rsid w:val="000F1C51"/>
    <w:rsid w:val="000F262C"/>
    <w:rsid w:val="001220F2"/>
    <w:rsid w:val="00132569"/>
    <w:rsid w:val="00132F76"/>
    <w:rsid w:val="00150360"/>
    <w:rsid w:val="00185FC9"/>
    <w:rsid w:val="00194DD6"/>
    <w:rsid w:val="001B5151"/>
    <w:rsid w:val="001D0998"/>
    <w:rsid w:val="001E1076"/>
    <w:rsid w:val="001F0AE6"/>
    <w:rsid w:val="001F1D75"/>
    <w:rsid w:val="001F20AC"/>
    <w:rsid w:val="001F3F7C"/>
    <w:rsid w:val="002207A4"/>
    <w:rsid w:val="002338BE"/>
    <w:rsid w:val="00240C67"/>
    <w:rsid w:val="00247FB7"/>
    <w:rsid w:val="002569CC"/>
    <w:rsid w:val="0025789D"/>
    <w:rsid w:val="00292875"/>
    <w:rsid w:val="0029617E"/>
    <w:rsid w:val="002B1621"/>
    <w:rsid w:val="002B3C51"/>
    <w:rsid w:val="002E266C"/>
    <w:rsid w:val="002E42CA"/>
    <w:rsid w:val="0030092F"/>
    <w:rsid w:val="003010FE"/>
    <w:rsid w:val="003075CE"/>
    <w:rsid w:val="00310435"/>
    <w:rsid w:val="00355338"/>
    <w:rsid w:val="00364D8B"/>
    <w:rsid w:val="00383069"/>
    <w:rsid w:val="003A291A"/>
    <w:rsid w:val="003B20F8"/>
    <w:rsid w:val="003B42B0"/>
    <w:rsid w:val="003C317B"/>
    <w:rsid w:val="003C617E"/>
    <w:rsid w:val="003F6D4A"/>
    <w:rsid w:val="00404973"/>
    <w:rsid w:val="004108A7"/>
    <w:rsid w:val="00411232"/>
    <w:rsid w:val="004127E3"/>
    <w:rsid w:val="00412EFA"/>
    <w:rsid w:val="004845FC"/>
    <w:rsid w:val="00485D15"/>
    <w:rsid w:val="004977CB"/>
    <w:rsid w:val="004A3230"/>
    <w:rsid w:val="004A5236"/>
    <w:rsid w:val="004B345B"/>
    <w:rsid w:val="004B3970"/>
    <w:rsid w:val="004B5EE8"/>
    <w:rsid w:val="004B7CE6"/>
    <w:rsid w:val="004C506B"/>
    <w:rsid w:val="004D3C80"/>
    <w:rsid w:val="004F0498"/>
    <w:rsid w:val="005051C8"/>
    <w:rsid w:val="005103B8"/>
    <w:rsid w:val="00554B3A"/>
    <w:rsid w:val="005652C2"/>
    <w:rsid w:val="005856F9"/>
    <w:rsid w:val="00590B30"/>
    <w:rsid w:val="00593585"/>
    <w:rsid w:val="00593A76"/>
    <w:rsid w:val="005B2EEC"/>
    <w:rsid w:val="005C10A5"/>
    <w:rsid w:val="005C500B"/>
    <w:rsid w:val="005C79B5"/>
    <w:rsid w:val="005E2BB4"/>
    <w:rsid w:val="00611AB2"/>
    <w:rsid w:val="00612214"/>
    <w:rsid w:val="00613372"/>
    <w:rsid w:val="00644453"/>
    <w:rsid w:val="00673FAA"/>
    <w:rsid w:val="0069758C"/>
    <w:rsid w:val="006C52C7"/>
    <w:rsid w:val="006D5162"/>
    <w:rsid w:val="0072251C"/>
    <w:rsid w:val="00725032"/>
    <w:rsid w:val="00734274"/>
    <w:rsid w:val="0074028C"/>
    <w:rsid w:val="00751ADD"/>
    <w:rsid w:val="007537DD"/>
    <w:rsid w:val="00793AF1"/>
    <w:rsid w:val="007B0940"/>
    <w:rsid w:val="007B33AA"/>
    <w:rsid w:val="007C0681"/>
    <w:rsid w:val="007C1019"/>
    <w:rsid w:val="007C2E8B"/>
    <w:rsid w:val="007C5C59"/>
    <w:rsid w:val="007D0E81"/>
    <w:rsid w:val="007E4F5E"/>
    <w:rsid w:val="007E6F49"/>
    <w:rsid w:val="007E7F33"/>
    <w:rsid w:val="00816C6F"/>
    <w:rsid w:val="00822A16"/>
    <w:rsid w:val="00823182"/>
    <w:rsid w:val="00835BE8"/>
    <w:rsid w:val="00864090"/>
    <w:rsid w:val="00883C7F"/>
    <w:rsid w:val="00895781"/>
    <w:rsid w:val="008B2DC0"/>
    <w:rsid w:val="008E718A"/>
    <w:rsid w:val="008F5906"/>
    <w:rsid w:val="00905153"/>
    <w:rsid w:val="009116AE"/>
    <w:rsid w:val="009262F7"/>
    <w:rsid w:val="00937AA2"/>
    <w:rsid w:val="00944F61"/>
    <w:rsid w:val="00947D02"/>
    <w:rsid w:val="00971585"/>
    <w:rsid w:val="009728A4"/>
    <w:rsid w:val="00980A88"/>
    <w:rsid w:val="00993C33"/>
    <w:rsid w:val="009A131F"/>
    <w:rsid w:val="009A6684"/>
    <w:rsid w:val="009B1443"/>
    <w:rsid w:val="009B4A12"/>
    <w:rsid w:val="009B5E9F"/>
    <w:rsid w:val="009E09BE"/>
    <w:rsid w:val="009F0DCA"/>
    <w:rsid w:val="00A003C9"/>
    <w:rsid w:val="00A20541"/>
    <w:rsid w:val="00A25E02"/>
    <w:rsid w:val="00A26335"/>
    <w:rsid w:val="00A4265F"/>
    <w:rsid w:val="00A71DF4"/>
    <w:rsid w:val="00A94139"/>
    <w:rsid w:val="00AC3B3D"/>
    <w:rsid w:val="00AD067A"/>
    <w:rsid w:val="00AD5AE6"/>
    <w:rsid w:val="00AE5199"/>
    <w:rsid w:val="00AF77E9"/>
    <w:rsid w:val="00B35BF2"/>
    <w:rsid w:val="00B441EE"/>
    <w:rsid w:val="00B52F79"/>
    <w:rsid w:val="00B72F53"/>
    <w:rsid w:val="00BA06E9"/>
    <w:rsid w:val="00BA342D"/>
    <w:rsid w:val="00BB6C83"/>
    <w:rsid w:val="00BC3783"/>
    <w:rsid w:val="00BE5CCB"/>
    <w:rsid w:val="00BF4855"/>
    <w:rsid w:val="00BF6B2A"/>
    <w:rsid w:val="00C163B2"/>
    <w:rsid w:val="00C205DE"/>
    <w:rsid w:val="00C23F74"/>
    <w:rsid w:val="00C254CF"/>
    <w:rsid w:val="00C436E5"/>
    <w:rsid w:val="00C44267"/>
    <w:rsid w:val="00C804C3"/>
    <w:rsid w:val="00C85153"/>
    <w:rsid w:val="00C9490B"/>
    <w:rsid w:val="00C9508E"/>
    <w:rsid w:val="00CA0337"/>
    <w:rsid w:val="00D04192"/>
    <w:rsid w:val="00D0690E"/>
    <w:rsid w:val="00D3277E"/>
    <w:rsid w:val="00D46B3D"/>
    <w:rsid w:val="00D5428B"/>
    <w:rsid w:val="00D71AEB"/>
    <w:rsid w:val="00D837A8"/>
    <w:rsid w:val="00D83C87"/>
    <w:rsid w:val="00D94306"/>
    <w:rsid w:val="00DA439B"/>
    <w:rsid w:val="00DB24FA"/>
    <w:rsid w:val="00DB29E7"/>
    <w:rsid w:val="00DB3585"/>
    <w:rsid w:val="00DD0FD4"/>
    <w:rsid w:val="00DD5C6E"/>
    <w:rsid w:val="00DF1446"/>
    <w:rsid w:val="00E15C22"/>
    <w:rsid w:val="00E23671"/>
    <w:rsid w:val="00E23864"/>
    <w:rsid w:val="00E272F3"/>
    <w:rsid w:val="00E411AB"/>
    <w:rsid w:val="00E4281F"/>
    <w:rsid w:val="00E63293"/>
    <w:rsid w:val="00E65745"/>
    <w:rsid w:val="00E71048"/>
    <w:rsid w:val="00E760DF"/>
    <w:rsid w:val="00EA54AE"/>
    <w:rsid w:val="00EB48A8"/>
    <w:rsid w:val="00EE25E8"/>
    <w:rsid w:val="00EF1F21"/>
    <w:rsid w:val="00EF2956"/>
    <w:rsid w:val="00EF3329"/>
    <w:rsid w:val="00F05C70"/>
    <w:rsid w:val="00F82766"/>
    <w:rsid w:val="00F962C8"/>
    <w:rsid w:val="00FA02DA"/>
    <w:rsid w:val="00FA3FAC"/>
    <w:rsid w:val="00FA5317"/>
    <w:rsid w:val="00FB2AF9"/>
    <w:rsid w:val="00FC4066"/>
    <w:rsid w:val="00FF1FE4"/>
    <w:rsid w:val="00FF5062"/>
    <w:rsid w:val="00FF6DE2"/>
    <w:rsid w:val="01DF24F5"/>
    <w:rsid w:val="02AE637A"/>
    <w:rsid w:val="038025EE"/>
    <w:rsid w:val="05483AD3"/>
    <w:rsid w:val="059E3AF9"/>
    <w:rsid w:val="06D31FFD"/>
    <w:rsid w:val="086230FE"/>
    <w:rsid w:val="09BB5689"/>
    <w:rsid w:val="0EF95735"/>
    <w:rsid w:val="0FFE770E"/>
    <w:rsid w:val="12D47C59"/>
    <w:rsid w:val="141D4AD6"/>
    <w:rsid w:val="15743990"/>
    <w:rsid w:val="16C21AFA"/>
    <w:rsid w:val="1B520526"/>
    <w:rsid w:val="1C37507D"/>
    <w:rsid w:val="1C500F78"/>
    <w:rsid w:val="1D5F54D5"/>
    <w:rsid w:val="1EA11E65"/>
    <w:rsid w:val="1F3E012B"/>
    <w:rsid w:val="20471508"/>
    <w:rsid w:val="20A541FA"/>
    <w:rsid w:val="21DF0EC4"/>
    <w:rsid w:val="235044AA"/>
    <w:rsid w:val="258C1BFD"/>
    <w:rsid w:val="28724E00"/>
    <w:rsid w:val="28CD47C9"/>
    <w:rsid w:val="2D9E67C7"/>
    <w:rsid w:val="2F362A93"/>
    <w:rsid w:val="3522139B"/>
    <w:rsid w:val="355559BD"/>
    <w:rsid w:val="35CB0396"/>
    <w:rsid w:val="36997010"/>
    <w:rsid w:val="37280911"/>
    <w:rsid w:val="38D06672"/>
    <w:rsid w:val="39F34FD3"/>
    <w:rsid w:val="3AAC3BE1"/>
    <w:rsid w:val="3BE57C04"/>
    <w:rsid w:val="3E686E12"/>
    <w:rsid w:val="3F295D62"/>
    <w:rsid w:val="3FF43934"/>
    <w:rsid w:val="436511F7"/>
    <w:rsid w:val="47640E4B"/>
    <w:rsid w:val="49727DA5"/>
    <w:rsid w:val="4C043F78"/>
    <w:rsid w:val="4C195465"/>
    <w:rsid w:val="4EF456FF"/>
    <w:rsid w:val="4FCA2BE0"/>
    <w:rsid w:val="50415DBA"/>
    <w:rsid w:val="53D17F69"/>
    <w:rsid w:val="54234E18"/>
    <w:rsid w:val="558667E5"/>
    <w:rsid w:val="5733107C"/>
    <w:rsid w:val="57A83B70"/>
    <w:rsid w:val="586061ED"/>
    <w:rsid w:val="58660AB1"/>
    <w:rsid w:val="5937551D"/>
    <w:rsid w:val="5B7C60CD"/>
    <w:rsid w:val="5C0E1A2C"/>
    <w:rsid w:val="5E782D25"/>
    <w:rsid w:val="5F4E40E2"/>
    <w:rsid w:val="5F676130"/>
    <w:rsid w:val="625571EC"/>
    <w:rsid w:val="64EF6247"/>
    <w:rsid w:val="6B6E7C04"/>
    <w:rsid w:val="6CF873FF"/>
    <w:rsid w:val="708C5A63"/>
    <w:rsid w:val="73686E8E"/>
    <w:rsid w:val="74692352"/>
    <w:rsid w:val="75CC4236"/>
    <w:rsid w:val="76065B94"/>
    <w:rsid w:val="76230780"/>
    <w:rsid w:val="7A1F1247"/>
    <w:rsid w:val="7C93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qFormat="1" w:unhideWhenUsed="0" w:uiPriority="99" w:name="envelope address"/>
    <w:lsdException w:qFormat="1" w:unhideWhenUsed="0" w:uiPriority="99" w:name="envelope return"/>
    <w:lsdException w:qFormat="1" w:unhideWhenUsed="0" w:uiPriority="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iPriority="99" w:name="endnote reference"/>
    <w:lsdException w:uiPriority="99" w:name="endnote text"/>
    <w:lsdException w:qFormat="1" w:unhideWhenUsed="0"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0" w:semiHidden="0"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0" w:semiHidden="0" w:name="Title"/>
    <w:lsdException w:qFormat="1" w:unhideWhenUsed="0" w:uiPriority="99"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semiHidden="0" w:name="HTML Preformatted"/>
    <w:lsdException w:qFormat="1" w:unhideWhenUsed="0" w:uiPriority="99" w:name="HTML Sample"/>
    <w:lsdException w:qFormat="1" w:unhideWhenUsed="0" w:uiPriority="99" w:name="HTML Typewriter"/>
    <w:lsdException w:qFormat="1" w:unhideWhenUsed="0" w:uiPriority="99" w:name="HTML Variable"/>
    <w:lsdException w:uiPriority="99" w:name="Normal Table"/>
    <w:lsdException w:qFormat="1" w:unhideWhenUsed="0" w:uiPriority="99"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99" w:semiHidden="0" w:name="Balloon Text"/>
    <w:lsdException w:qFormat="1" w:unhideWhenUsed="0" w:uiPriority="59" w:semiHidden="0" w:name="Table Grid"/>
    <w:lsdException w:qFormat="1"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14"/>
    <w:qFormat/>
    <w:uiPriority w:val="0"/>
    <w:pPr>
      <w:numPr>
        <w:ilvl w:val="0"/>
        <w:numId w:val="1"/>
      </w:numPr>
      <w:tabs>
        <w:tab w:val="right" w:leader="dot" w:pos="9061"/>
      </w:tabs>
      <w:spacing w:line="360" w:lineRule="auto"/>
      <w:jc w:val="center"/>
      <w:outlineLvl w:val="0"/>
    </w:pPr>
    <w:rPr>
      <w:b/>
      <w:iCs/>
      <w:sz w:val="36"/>
      <w:szCs w:val="20"/>
    </w:rPr>
  </w:style>
  <w:style w:type="paragraph" w:styleId="4">
    <w:name w:val="heading 2"/>
    <w:basedOn w:val="1"/>
    <w:next w:val="1"/>
    <w:link w:val="142"/>
    <w:qFormat/>
    <w:uiPriority w:val="9"/>
    <w:pPr>
      <w:keepNext/>
      <w:keepLines/>
      <w:numPr>
        <w:ilvl w:val="1"/>
        <w:numId w:val="2"/>
      </w:numPr>
      <w:spacing w:before="260" w:after="260" w:line="416" w:lineRule="auto"/>
      <w:ind w:left="0"/>
      <w:outlineLvl w:val="1"/>
    </w:pPr>
    <w:rPr>
      <w:rFonts w:ascii="Arial" w:hAnsi="Arial" w:eastAsia="黑体"/>
      <w:b/>
      <w:bCs/>
      <w:kern w:val="0"/>
      <w:sz w:val="32"/>
      <w:szCs w:val="32"/>
    </w:rPr>
  </w:style>
  <w:style w:type="paragraph" w:styleId="5">
    <w:name w:val="heading 3"/>
    <w:basedOn w:val="1"/>
    <w:next w:val="1"/>
    <w:link w:val="143"/>
    <w:qFormat/>
    <w:uiPriority w:val="9"/>
    <w:pPr>
      <w:keepNext/>
      <w:keepLines/>
      <w:numPr>
        <w:ilvl w:val="2"/>
        <w:numId w:val="2"/>
      </w:numPr>
      <w:spacing w:line="360" w:lineRule="auto"/>
      <w:ind w:left="0"/>
      <w:outlineLvl w:val="2"/>
    </w:pPr>
    <w:rPr>
      <w:b/>
      <w:bCs/>
      <w:kern w:val="0"/>
      <w:sz w:val="28"/>
      <w:szCs w:val="32"/>
    </w:rPr>
  </w:style>
  <w:style w:type="paragraph" w:styleId="6">
    <w:name w:val="heading 4"/>
    <w:basedOn w:val="1"/>
    <w:next w:val="1"/>
    <w:link w:val="144"/>
    <w:qFormat/>
    <w:uiPriority w:val="9"/>
    <w:pPr>
      <w:keepNext/>
      <w:keepLines/>
      <w:numPr>
        <w:ilvl w:val="3"/>
        <w:numId w:val="1"/>
      </w:numPr>
      <w:spacing w:before="280" w:after="290" w:line="376" w:lineRule="auto"/>
      <w:ind w:left="0" w:firstLine="0"/>
      <w:outlineLvl w:val="3"/>
    </w:pPr>
    <w:rPr>
      <w:rFonts w:ascii="Arial" w:hAnsi="Arial" w:eastAsia="黑体"/>
      <w:b/>
      <w:bCs/>
      <w:kern w:val="0"/>
      <w:sz w:val="28"/>
      <w:szCs w:val="28"/>
    </w:rPr>
  </w:style>
  <w:style w:type="paragraph" w:styleId="7">
    <w:name w:val="heading 5"/>
    <w:basedOn w:val="1"/>
    <w:next w:val="1"/>
    <w:link w:val="145"/>
    <w:qFormat/>
    <w:uiPriority w:val="99"/>
    <w:pPr>
      <w:keepNext/>
      <w:keepLines/>
      <w:spacing w:before="280" w:after="290" w:line="376" w:lineRule="auto"/>
      <w:outlineLvl w:val="4"/>
    </w:pPr>
    <w:rPr>
      <w:b/>
      <w:bCs/>
      <w:kern w:val="0"/>
      <w:sz w:val="28"/>
      <w:szCs w:val="28"/>
    </w:rPr>
  </w:style>
  <w:style w:type="paragraph" w:styleId="8">
    <w:name w:val="heading 6"/>
    <w:basedOn w:val="1"/>
    <w:next w:val="1"/>
    <w:link w:val="146"/>
    <w:qFormat/>
    <w:uiPriority w:val="99"/>
    <w:pPr>
      <w:keepNext/>
      <w:keepLines/>
      <w:spacing w:before="240" w:after="64" w:line="320" w:lineRule="auto"/>
      <w:outlineLvl w:val="5"/>
    </w:pPr>
    <w:rPr>
      <w:rFonts w:ascii="Arial" w:hAnsi="Arial" w:eastAsia="黑体"/>
      <w:b/>
      <w:bCs/>
      <w:kern w:val="0"/>
      <w:sz w:val="20"/>
      <w:szCs w:val="20"/>
    </w:rPr>
  </w:style>
  <w:style w:type="paragraph" w:styleId="9">
    <w:name w:val="heading 7"/>
    <w:basedOn w:val="1"/>
    <w:next w:val="1"/>
    <w:link w:val="147"/>
    <w:qFormat/>
    <w:uiPriority w:val="99"/>
    <w:pPr>
      <w:keepNext/>
      <w:keepLines/>
      <w:spacing w:before="240" w:after="64" w:line="320" w:lineRule="auto"/>
      <w:jc w:val="left"/>
      <w:outlineLvl w:val="6"/>
    </w:pPr>
    <w:rPr>
      <w:b/>
      <w:bCs/>
      <w:kern w:val="0"/>
      <w:sz w:val="24"/>
      <w:szCs w:val="24"/>
    </w:rPr>
  </w:style>
  <w:style w:type="paragraph" w:styleId="10">
    <w:name w:val="heading 8"/>
    <w:basedOn w:val="1"/>
    <w:next w:val="1"/>
    <w:link w:val="148"/>
    <w:qFormat/>
    <w:uiPriority w:val="99"/>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11">
    <w:name w:val="heading 9"/>
    <w:basedOn w:val="1"/>
    <w:next w:val="1"/>
    <w:link w:val="149"/>
    <w:qFormat/>
    <w:uiPriority w:val="99"/>
    <w:pPr>
      <w:keepNext/>
      <w:keepLines/>
      <w:tabs>
        <w:tab w:val="left" w:pos="1584"/>
      </w:tabs>
      <w:adjustRightInd w:val="0"/>
      <w:spacing w:line="360" w:lineRule="atLeast"/>
      <w:ind w:left="1584" w:hanging="1584"/>
      <w:outlineLvl w:val="8"/>
    </w:pPr>
    <w:rPr>
      <w:rFonts w:ascii="Cambria" w:hAnsi="Cambria"/>
      <w:kern w:val="0"/>
    </w:rPr>
  </w:style>
  <w:style w:type="character" w:default="1" w:styleId="122">
    <w:name w:val="Default Paragraph Font"/>
    <w:semiHidden/>
    <w:unhideWhenUsed/>
    <w:uiPriority w:val="1"/>
  </w:style>
  <w:style w:type="table" w:default="1" w:styleId="77">
    <w:name w:val="Normal Table"/>
    <w:semiHidden/>
    <w:unhideWhenUsed/>
    <w:uiPriority w:val="99"/>
    <w:tblPr>
      <w:tblCellMar>
        <w:top w:w="0" w:type="dxa"/>
        <w:left w:w="108" w:type="dxa"/>
        <w:bottom w:w="0" w:type="dxa"/>
        <w:right w:w="108" w:type="dxa"/>
      </w:tblCellMar>
    </w:tblPr>
  </w:style>
  <w:style w:type="paragraph" w:styleId="2">
    <w:name w:val="HTML Preformatted"/>
    <w:basedOn w:val="1"/>
    <w:link w:val="150"/>
    <w:qFormat/>
    <w:uiPriority w:val="99"/>
    <w:pPr>
      <w:spacing w:after="200" w:line="276" w:lineRule="auto"/>
      <w:jc w:val="left"/>
    </w:pPr>
    <w:rPr>
      <w:rFonts w:ascii="Courier New" w:hAnsi="Courier New" w:cs="Courier New" w:eastAsiaTheme="minorEastAsia"/>
      <w:sz w:val="20"/>
      <w:szCs w:val="20"/>
    </w:rPr>
  </w:style>
  <w:style w:type="paragraph" w:styleId="12">
    <w:name w:val="List 3"/>
    <w:basedOn w:val="1"/>
    <w:qFormat/>
    <w:uiPriority w:val="99"/>
    <w:pPr>
      <w:ind w:left="100" w:leftChars="400" w:hanging="200" w:hangingChars="200"/>
    </w:pPr>
  </w:style>
  <w:style w:type="paragraph" w:styleId="13">
    <w:name w:val="toc 7"/>
    <w:basedOn w:val="1"/>
    <w:next w:val="1"/>
    <w:qFormat/>
    <w:uiPriority w:val="0"/>
    <w:pPr>
      <w:ind w:left="1260"/>
      <w:jc w:val="left"/>
    </w:pPr>
    <w:rPr>
      <w:sz w:val="18"/>
      <w:szCs w:val="18"/>
    </w:rPr>
  </w:style>
  <w:style w:type="paragraph" w:styleId="14">
    <w:name w:val="List Number 2"/>
    <w:basedOn w:val="1"/>
    <w:semiHidden/>
    <w:qFormat/>
    <w:uiPriority w:val="99"/>
    <w:pPr>
      <w:tabs>
        <w:tab w:val="left" w:pos="780"/>
      </w:tabs>
      <w:spacing w:after="200" w:line="276" w:lineRule="auto"/>
      <w:ind w:left="780" w:leftChars="200" w:hanging="360" w:hangingChars="200"/>
      <w:jc w:val="left"/>
    </w:pPr>
    <w:rPr>
      <w:rFonts w:ascii="Calibri" w:hAnsi="Calibri" w:cs="Calibri"/>
      <w:kern w:val="0"/>
      <w:sz w:val="22"/>
      <w:szCs w:val="22"/>
      <w:lang w:eastAsia="en-US"/>
    </w:rPr>
  </w:style>
  <w:style w:type="paragraph" w:styleId="15">
    <w:name w:val="table of authorities"/>
    <w:basedOn w:val="1"/>
    <w:next w:val="1"/>
    <w:semiHidden/>
    <w:qFormat/>
    <w:uiPriority w:val="99"/>
    <w:pPr>
      <w:spacing w:after="200" w:line="276" w:lineRule="auto"/>
      <w:ind w:left="420" w:leftChars="200"/>
      <w:jc w:val="left"/>
    </w:pPr>
    <w:rPr>
      <w:rFonts w:ascii="Calibri" w:hAnsi="Calibri" w:cs="Calibri"/>
      <w:kern w:val="0"/>
      <w:sz w:val="22"/>
      <w:szCs w:val="22"/>
      <w:lang w:eastAsia="en-US"/>
    </w:rPr>
  </w:style>
  <w:style w:type="paragraph" w:styleId="16">
    <w:name w:val="Note Heading"/>
    <w:basedOn w:val="1"/>
    <w:next w:val="1"/>
    <w:link w:val="183"/>
    <w:semiHidden/>
    <w:qFormat/>
    <w:uiPriority w:val="99"/>
    <w:pPr>
      <w:spacing w:after="200" w:line="276" w:lineRule="auto"/>
      <w:jc w:val="center"/>
    </w:pPr>
    <w:rPr>
      <w:rFonts w:asciiTheme="minorHAnsi" w:hAnsiTheme="minorHAnsi" w:eastAsiaTheme="minorEastAsia"/>
    </w:rPr>
  </w:style>
  <w:style w:type="paragraph" w:styleId="17">
    <w:name w:val="List Bullet 4"/>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18">
    <w:name w:val="E-mail Signature"/>
    <w:basedOn w:val="1"/>
    <w:link w:val="216"/>
    <w:semiHidden/>
    <w:qFormat/>
    <w:uiPriority w:val="99"/>
    <w:pPr>
      <w:spacing w:after="200" w:line="276" w:lineRule="auto"/>
      <w:jc w:val="left"/>
    </w:pPr>
    <w:rPr>
      <w:rFonts w:asciiTheme="minorHAnsi" w:hAnsiTheme="minorHAnsi" w:eastAsiaTheme="minorEastAsia"/>
    </w:rPr>
  </w:style>
  <w:style w:type="paragraph" w:styleId="19">
    <w:name w:val="List Number"/>
    <w:basedOn w:val="1"/>
    <w:semiHidden/>
    <w:qFormat/>
    <w:uiPriority w:val="99"/>
    <w:pPr>
      <w:tabs>
        <w:tab w:val="left" w:pos="360"/>
      </w:tabs>
      <w:spacing w:after="200" w:line="276" w:lineRule="auto"/>
      <w:ind w:left="360" w:hanging="360" w:hangingChars="200"/>
      <w:jc w:val="left"/>
    </w:pPr>
    <w:rPr>
      <w:rFonts w:ascii="Calibri" w:hAnsi="Calibri" w:cs="Calibri"/>
      <w:kern w:val="0"/>
      <w:sz w:val="22"/>
      <w:szCs w:val="22"/>
      <w:lang w:eastAsia="en-US"/>
    </w:rPr>
  </w:style>
  <w:style w:type="paragraph" w:styleId="20">
    <w:name w:val="Normal Indent"/>
    <w:basedOn w:val="1"/>
    <w:link w:val="162"/>
    <w:qFormat/>
    <w:uiPriority w:val="99"/>
    <w:pPr>
      <w:ind w:firstLine="420" w:firstLineChars="200"/>
    </w:pPr>
    <w:rPr>
      <w:rFonts w:asciiTheme="minorHAnsi" w:hAnsiTheme="minorHAnsi"/>
    </w:rPr>
  </w:style>
  <w:style w:type="paragraph" w:styleId="21">
    <w:name w:val="caption"/>
    <w:basedOn w:val="1"/>
    <w:next w:val="1"/>
    <w:qFormat/>
    <w:uiPriority w:val="0"/>
    <w:pPr>
      <w:spacing w:before="152" w:after="160"/>
    </w:pPr>
    <w:rPr>
      <w:rFonts w:ascii="Arial" w:hAnsi="Arial" w:eastAsia="黑体" w:cs="Arial"/>
      <w:sz w:val="20"/>
      <w:szCs w:val="20"/>
    </w:rPr>
  </w:style>
  <w:style w:type="paragraph" w:styleId="22">
    <w:name w:val="List Bullet"/>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23">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szCs w:val="24"/>
      <w:lang w:eastAsia="en-US"/>
    </w:rPr>
  </w:style>
  <w:style w:type="paragraph" w:styleId="24">
    <w:name w:val="Document Map"/>
    <w:basedOn w:val="1"/>
    <w:link w:val="174"/>
    <w:qFormat/>
    <w:uiPriority w:val="0"/>
    <w:pPr>
      <w:shd w:val="clear" w:color="auto" w:fill="000080"/>
    </w:pPr>
    <w:rPr>
      <w:rFonts w:asciiTheme="minorHAnsi" w:hAnsiTheme="minorHAnsi" w:eastAsiaTheme="minorEastAsia"/>
      <w:sz w:val="2"/>
      <w:szCs w:val="2"/>
    </w:rPr>
  </w:style>
  <w:style w:type="paragraph" w:styleId="25">
    <w:name w:val="toa heading"/>
    <w:basedOn w:val="1"/>
    <w:next w:val="1"/>
    <w:qFormat/>
    <w:uiPriority w:val="0"/>
    <w:pPr>
      <w:spacing w:before="120"/>
    </w:pPr>
    <w:rPr>
      <w:rFonts w:ascii="Arial" w:hAnsi="Arial" w:cs="Arial"/>
      <w:sz w:val="24"/>
      <w:szCs w:val="24"/>
    </w:rPr>
  </w:style>
  <w:style w:type="paragraph" w:styleId="26">
    <w:name w:val="annotation text"/>
    <w:basedOn w:val="1"/>
    <w:link w:val="277"/>
    <w:unhideWhenUsed/>
    <w:qFormat/>
    <w:uiPriority w:val="99"/>
    <w:pPr>
      <w:jc w:val="left"/>
    </w:pPr>
  </w:style>
  <w:style w:type="paragraph" w:styleId="27">
    <w:name w:val="Salutation"/>
    <w:basedOn w:val="1"/>
    <w:next w:val="1"/>
    <w:link w:val="206"/>
    <w:qFormat/>
    <w:uiPriority w:val="99"/>
    <w:pPr>
      <w:spacing w:after="200" w:line="276" w:lineRule="auto"/>
      <w:jc w:val="left"/>
    </w:pPr>
    <w:rPr>
      <w:rFonts w:asciiTheme="minorHAnsi" w:hAnsiTheme="minorHAnsi" w:eastAsiaTheme="minorEastAsia"/>
    </w:rPr>
  </w:style>
  <w:style w:type="paragraph" w:styleId="28">
    <w:name w:val="Body Text 3"/>
    <w:basedOn w:val="1"/>
    <w:link w:val="179"/>
    <w:qFormat/>
    <w:uiPriority w:val="99"/>
    <w:rPr>
      <w:rFonts w:asciiTheme="minorHAnsi" w:hAnsiTheme="minorHAnsi" w:eastAsiaTheme="minorEastAsia"/>
      <w:sz w:val="16"/>
      <w:szCs w:val="16"/>
    </w:rPr>
  </w:style>
  <w:style w:type="paragraph" w:styleId="29">
    <w:name w:val="Closing"/>
    <w:basedOn w:val="1"/>
    <w:link w:val="172"/>
    <w:semiHidden/>
    <w:qFormat/>
    <w:uiPriority w:val="99"/>
    <w:pPr>
      <w:spacing w:after="200" w:line="276" w:lineRule="auto"/>
      <w:ind w:left="100" w:leftChars="2100"/>
      <w:jc w:val="left"/>
    </w:pPr>
    <w:rPr>
      <w:rFonts w:asciiTheme="minorHAnsi" w:hAnsiTheme="minorHAnsi" w:eastAsiaTheme="minorEastAsia"/>
    </w:rPr>
  </w:style>
  <w:style w:type="paragraph" w:styleId="30">
    <w:name w:val="List Bullet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1">
    <w:name w:val="Body Text"/>
    <w:basedOn w:val="1"/>
    <w:next w:val="32"/>
    <w:link w:val="196"/>
    <w:qFormat/>
    <w:uiPriority w:val="99"/>
    <w:pPr>
      <w:spacing w:after="120"/>
    </w:pPr>
    <w:rPr>
      <w:rFonts w:asciiTheme="minorHAnsi" w:hAnsiTheme="minorHAnsi" w:eastAsiaTheme="minorEastAsia"/>
    </w:rPr>
  </w:style>
  <w:style w:type="paragraph" w:styleId="32">
    <w:name w:val="Body Text Indent"/>
    <w:basedOn w:val="1"/>
    <w:next w:val="33"/>
    <w:link w:val="181"/>
    <w:qFormat/>
    <w:uiPriority w:val="0"/>
    <w:pPr>
      <w:spacing w:line="500" w:lineRule="exact"/>
      <w:ind w:left="1588" w:leftChars="832" w:firstLine="433" w:firstLineChars="196"/>
    </w:pPr>
    <w:rPr>
      <w:rFonts w:asciiTheme="minorHAnsi" w:hAnsiTheme="minorHAnsi" w:eastAsiaTheme="minorEastAsia"/>
    </w:rPr>
  </w:style>
  <w:style w:type="paragraph" w:customStyle="1" w:styleId="33">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34">
    <w:name w:val="List Number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5">
    <w:name w:val="List 2"/>
    <w:basedOn w:val="1"/>
    <w:qFormat/>
    <w:uiPriority w:val="99"/>
    <w:pPr>
      <w:ind w:left="100" w:leftChars="200" w:hanging="200" w:hangingChars="200"/>
    </w:pPr>
  </w:style>
  <w:style w:type="paragraph" w:styleId="36">
    <w:name w:val="List Continue"/>
    <w:basedOn w:val="1"/>
    <w:qFormat/>
    <w:uiPriority w:val="99"/>
    <w:pPr>
      <w:spacing w:after="120"/>
      <w:ind w:left="420" w:leftChars="200"/>
    </w:pPr>
  </w:style>
  <w:style w:type="paragraph" w:styleId="37">
    <w:name w:val="Block Text"/>
    <w:basedOn w:val="1"/>
    <w:semiHidden/>
    <w:qFormat/>
    <w:uiPriority w:val="99"/>
    <w:pPr>
      <w:spacing w:after="120" w:line="276" w:lineRule="auto"/>
      <w:ind w:left="1440" w:leftChars="700" w:right="1440" w:rightChars="700"/>
      <w:jc w:val="left"/>
    </w:pPr>
    <w:rPr>
      <w:rFonts w:ascii="Calibri" w:hAnsi="Calibri" w:cs="Calibri"/>
      <w:kern w:val="0"/>
      <w:sz w:val="22"/>
      <w:szCs w:val="22"/>
      <w:lang w:eastAsia="en-US"/>
    </w:rPr>
  </w:style>
  <w:style w:type="paragraph" w:styleId="38">
    <w:name w:val="List Bullet 2"/>
    <w:basedOn w:val="1"/>
    <w:qFormat/>
    <w:uiPriority w:val="0"/>
    <w:pPr>
      <w:tabs>
        <w:tab w:val="left" w:pos="360"/>
      </w:tabs>
      <w:spacing w:after="200" w:line="276" w:lineRule="auto"/>
      <w:ind w:left="360" w:hanging="360"/>
      <w:jc w:val="left"/>
    </w:pPr>
    <w:rPr>
      <w:rFonts w:ascii="Calibri" w:hAnsi="Calibri" w:cs="Calibri"/>
      <w:kern w:val="0"/>
      <w:sz w:val="22"/>
      <w:szCs w:val="22"/>
      <w:lang w:eastAsia="en-US"/>
    </w:rPr>
  </w:style>
  <w:style w:type="paragraph" w:styleId="39">
    <w:name w:val="HTML Address"/>
    <w:basedOn w:val="1"/>
    <w:link w:val="186"/>
    <w:semiHidden/>
    <w:qFormat/>
    <w:uiPriority w:val="99"/>
    <w:pPr>
      <w:spacing w:after="200" w:line="276" w:lineRule="auto"/>
      <w:jc w:val="left"/>
    </w:pPr>
    <w:rPr>
      <w:rFonts w:asciiTheme="minorHAnsi" w:hAnsiTheme="minorHAnsi" w:eastAsiaTheme="minorEastAsia"/>
      <w:i/>
      <w:iCs/>
    </w:rPr>
  </w:style>
  <w:style w:type="paragraph" w:styleId="40">
    <w:name w:val="toc 5"/>
    <w:basedOn w:val="1"/>
    <w:next w:val="1"/>
    <w:qFormat/>
    <w:uiPriority w:val="0"/>
    <w:pPr>
      <w:ind w:left="840"/>
      <w:jc w:val="left"/>
    </w:pPr>
    <w:rPr>
      <w:sz w:val="18"/>
      <w:szCs w:val="18"/>
    </w:rPr>
  </w:style>
  <w:style w:type="paragraph" w:styleId="41">
    <w:name w:val="toc 3"/>
    <w:basedOn w:val="1"/>
    <w:next w:val="1"/>
    <w:qFormat/>
    <w:uiPriority w:val="39"/>
    <w:pPr>
      <w:spacing w:line="360" w:lineRule="auto"/>
      <w:ind w:left="420"/>
      <w:jc w:val="left"/>
    </w:pPr>
    <w:rPr>
      <w:iCs/>
      <w:sz w:val="24"/>
      <w:szCs w:val="20"/>
    </w:rPr>
  </w:style>
  <w:style w:type="paragraph" w:styleId="42">
    <w:name w:val="Plain Text"/>
    <w:basedOn w:val="1"/>
    <w:next w:val="1"/>
    <w:link w:val="187"/>
    <w:qFormat/>
    <w:uiPriority w:val="0"/>
    <w:rPr>
      <w:rFonts w:ascii="宋体" w:hAnsi="Courier New" w:cs="宋体" w:eastAsiaTheme="minorEastAsia"/>
    </w:rPr>
  </w:style>
  <w:style w:type="paragraph" w:styleId="43">
    <w:name w:val="List Bullet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44">
    <w:name w:val="List Number 4"/>
    <w:basedOn w:val="1"/>
    <w:semiHidden/>
    <w:qFormat/>
    <w:uiPriority w:val="99"/>
    <w:pPr>
      <w:numPr>
        <w:ilvl w:val="0"/>
        <w:numId w:val="3"/>
      </w:numPr>
      <w:spacing w:after="200" w:line="276" w:lineRule="auto"/>
      <w:jc w:val="left"/>
    </w:pPr>
    <w:rPr>
      <w:rFonts w:ascii="Calibri" w:hAnsi="Calibri" w:cs="Calibri"/>
      <w:kern w:val="0"/>
      <w:sz w:val="22"/>
      <w:szCs w:val="22"/>
      <w:lang w:eastAsia="en-US"/>
    </w:rPr>
  </w:style>
  <w:style w:type="paragraph" w:styleId="45">
    <w:name w:val="toc 8"/>
    <w:basedOn w:val="1"/>
    <w:next w:val="1"/>
    <w:qFormat/>
    <w:uiPriority w:val="0"/>
    <w:pPr>
      <w:ind w:left="1470"/>
      <w:jc w:val="left"/>
    </w:pPr>
    <w:rPr>
      <w:sz w:val="18"/>
      <w:szCs w:val="18"/>
    </w:rPr>
  </w:style>
  <w:style w:type="paragraph" w:styleId="46">
    <w:name w:val="Date"/>
    <w:basedOn w:val="1"/>
    <w:next w:val="1"/>
    <w:link w:val="184"/>
    <w:qFormat/>
    <w:uiPriority w:val="0"/>
    <w:pPr>
      <w:ind w:left="100" w:leftChars="2500"/>
    </w:pPr>
    <w:rPr>
      <w:rFonts w:asciiTheme="minorHAnsi" w:hAnsiTheme="minorHAnsi" w:eastAsiaTheme="minorEastAsia"/>
    </w:rPr>
  </w:style>
  <w:style w:type="paragraph" w:styleId="47">
    <w:name w:val="Body Text Indent 2"/>
    <w:basedOn w:val="1"/>
    <w:link w:val="193"/>
    <w:qFormat/>
    <w:uiPriority w:val="0"/>
    <w:pPr>
      <w:spacing w:line="500" w:lineRule="exact"/>
      <w:ind w:firstLine="442" w:firstLineChars="200"/>
    </w:pPr>
    <w:rPr>
      <w:rFonts w:asciiTheme="minorHAnsi" w:hAnsiTheme="minorHAnsi" w:eastAsiaTheme="minorEastAsia"/>
    </w:rPr>
  </w:style>
  <w:style w:type="paragraph" w:styleId="48">
    <w:name w:val="List Continue 5"/>
    <w:basedOn w:val="1"/>
    <w:semiHidden/>
    <w:qFormat/>
    <w:uiPriority w:val="99"/>
    <w:pPr>
      <w:spacing w:after="120" w:line="276" w:lineRule="auto"/>
      <w:ind w:left="2100" w:leftChars="1000"/>
      <w:jc w:val="left"/>
    </w:pPr>
    <w:rPr>
      <w:rFonts w:ascii="Calibri" w:hAnsi="Calibri" w:cs="Calibri"/>
      <w:kern w:val="0"/>
      <w:sz w:val="22"/>
      <w:szCs w:val="22"/>
      <w:lang w:eastAsia="en-US"/>
    </w:rPr>
  </w:style>
  <w:style w:type="paragraph" w:styleId="49">
    <w:name w:val="Balloon Text"/>
    <w:basedOn w:val="1"/>
    <w:link w:val="210"/>
    <w:qFormat/>
    <w:uiPriority w:val="99"/>
    <w:rPr>
      <w:rFonts w:asciiTheme="minorHAnsi" w:hAnsiTheme="minorHAnsi" w:eastAsiaTheme="minorEastAsia" w:cstheme="minorBidi"/>
      <w:sz w:val="18"/>
      <w:szCs w:val="18"/>
    </w:rPr>
  </w:style>
  <w:style w:type="paragraph" w:styleId="50">
    <w:name w:val="footer"/>
    <w:basedOn w:val="1"/>
    <w:link w:val="140"/>
    <w:unhideWhenUsed/>
    <w:qFormat/>
    <w:uiPriority w:val="99"/>
    <w:pPr>
      <w:tabs>
        <w:tab w:val="center" w:pos="4153"/>
        <w:tab w:val="right" w:pos="8306"/>
      </w:tabs>
      <w:snapToGrid w:val="0"/>
      <w:jc w:val="left"/>
    </w:pPr>
    <w:rPr>
      <w:sz w:val="18"/>
      <w:szCs w:val="18"/>
    </w:rPr>
  </w:style>
  <w:style w:type="paragraph" w:styleId="51">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2">
    <w:name w:val="header"/>
    <w:basedOn w:val="1"/>
    <w:link w:val="139"/>
    <w:unhideWhenUsed/>
    <w:qFormat/>
    <w:uiPriority w:val="99"/>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91"/>
    <w:qFormat/>
    <w:uiPriority w:val="99"/>
    <w:pPr>
      <w:ind w:left="100" w:leftChars="2100"/>
    </w:pPr>
    <w:rPr>
      <w:rFonts w:asciiTheme="minorHAnsi" w:hAnsiTheme="minorHAnsi" w:eastAsiaTheme="minorEastAsia"/>
    </w:rPr>
  </w:style>
  <w:style w:type="paragraph" w:styleId="54">
    <w:name w:val="toc 1"/>
    <w:basedOn w:val="1"/>
    <w:next w:val="1"/>
    <w:qFormat/>
    <w:uiPriority w:val="39"/>
    <w:pPr>
      <w:spacing w:before="120" w:after="120"/>
      <w:jc w:val="left"/>
    </w:pPr>
    <w:rPr>
      <w:b/>
      <w:bCs/>
      <w:caps/>
      <w:sz w:val="24"/>
      <w:szCs w:val="20"/>
    </w:rPr>
  </w:style>
  <w:style w:type="paragraph" w:styleId="55">
    <w:name w:val="List Continue 4"/>
    <w:basedOn w:val="1"/>
    <w:qFormat/>
    <w:uiPriority w:val="99"/>
    <w:pPr>
      <w:spacing w:after="120"/>
      <w:ind w:left="1680" w:leftChars="800"/>
    </w:pPr>
  </w:style>
  <w:style w:type="paragraph" w:styleId="56">
    <w:name w:val="toc 4"/>
    <w:basedOn w:val="1"/>
    <w:next w:val="1"/>
    <w:qFormat/>
    <w:uiPriority w:val="0"/>
    <w:pPr>
      <w:ind w:left="630"/>
      <w:jc w:val="left"/>
    </w:pPr>
    <w:rPr>
      <w:sz w:val="18"/>
      <w:szCs w:val="18"/>
    </w:rPr>
  </w:style>
  <w:style w:type="paragraph" w:styleId="57">
    <w:name w:val="Subtitle"/>
    <w:basedOn w:val="1"/>
    <w:link w:val="161"/>
    <w:qFormat/>
    <w:uiPriority w:val="99"/>
    <w:pPr>
      <w:spacing w:before="240" w:after="60" w:line="312" w:lineRule="auto"/>
      <w:jc w:val="center"/>
      <w:outlineLvl w:val="1"/>
    </w:pPr>
    <w:rPr>
      <w:rFonts w:ascii="Cambria" w:hAnsi="Cambria" w:cs="Cambria" w:eastAsiaTheme="minorEastAsia"/>
      <w:b/>
      <w:bCs/>
      <w:kern w:val="28"/>
      <w:sz w:val="32"/>
      <w:szCs w:val="32"/>
    </w:rPr>
  </w:style>
  <w:style w:type="paragraph" w:styleId="58">
    <w:name w:val="List Number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59">
    <w:name w:val="List"/>
    <w:basedOn w:val="1"/>
    <w:qFormat/>
    <w:uiPriority w:val="0"/>
    <w:pPr>
      <w:ind w:left="200" w:hanging="200" w:hangingChars="200"/>
    </w:pPr>
  </w:style>
  <w:style w:type="paragraph" w:styleId="60">
    <w:name w:val="footnote text"/>
    <w:basedOn w:val="1"/>
    <w:link w:val="250"/>
    <w:semiHidden/>
    <w:qFormat/>
    <w:uiPriority w:val="0"/>
    <w:pPr>
      <w:snapToGrid w:val="0"/>
      <w:jc w:val="left"/>
    </w:pPr>
    <w:rPr>
      <w:sz w:val="18"/>
      <w:szCs w:val="18"/>
    </w:rPr>
  </w:style>
  <w:style w:type="paragraph" w:styleId="61">
    <w:name w:val="toc 6"/>
    <w:basedOn w:val="1"/>
    <w:next w:val="1"/>
    <w:qFormat/>
    <w:uiPriority w:val="0"/>
    <w:pPr>
      <w:ind w:left="1050"/>
      <w:jc w:val="left"/>
    </w:pPr>
    <w:rPr>
      <w:sz w:val="18"/>
      <w:szCs w:val="18"/>
    </w:rPr>
  </w:style>
  <w:style w:type="paragraph" w:styleId="62">
    <w:name w:val="List 5"/>
    <w:basedOn w:val="1"/>
    <w:qFormat/>
    <w:uiPriority w:val="99"/>
    <w:pPr>
      <w:ind w:left="100" w:leftChars="800" w:hanging="200" w:hangingChars="200"/>
    </w:pPr>
  </w:style>
  <w:style w:type="paragraph" w:styleId="63">
    <w:name w:val="Body Text Indent 3"/>
    <w:basedOn w:val="1"/>
    <w:link w:val="173"/>
    <w:qFormat/>
    <w:uiPriority w:val="0"/>
    <w:pPr>
      <w:tabs>
        <w:tab w:val="left" w:pos="1134"/>
        <w:tab w:val="left" w:pos="5481"/>
        <w:tab w:val="left" w:pos="5859"/>
      </w:tabs>
      <w:spacing w:line="500" w:lineRule="exact"/>
      <w:ind w:firstLine="8275" w:firstLineChars="1200"/>
    </w:pPr>
    <w:rPr>
      <w:rFonts w:asciiTheme="minorHAnsi" w:hAnsiTheme="minorHAnsi" w:eastAsiaTheme="minorEastAsia"/>
      <w:sz w:val="16"/>
      <w:szCs w:val="16"/>
    </w:rPr>
  </w:style>
  <w:style w:type="paragraph" w:styleId="64">
    <w:name w:val="toc 2"/>
    <w:basedOn w:val="1"/>
    <w:next w:val="1"/>
    <w:qFormat/>
    <w:uiPriority w:val="39"/>
    <w:pPr>
      <w:spacing w:line="360" w:lineRule="auto"/>
      <w:ind w:left="210"/>
      <w:jc w:val="left"/>
    </w:pPr>
    <w:rPr>
      <w:smallCaps/>
      <w:sz w:val="24"/>
      <w:szCs w:val="20"/>
    </w:rPr>
  </w:style>
  <w:style w:type="paragraph" w:styleId="65">
    <w:name w:val="toc 9"/>
    <w:basedOn w:val="1"/>
    <w:next w:val="1"/>
    <w:qFormat/>
    <w:uiPriority w:val="0"/>
    <w:pPr>
      <w:ind w:left="1680"/>
      <w:jc w:val="left"/>
    </w:pPr>
    <w:rPr>
      <w:sz w:val="18"/>
      <w:szCs w:val="18"/>
    </w:rPr>
  </w:style>
  <w:style w:type="paragraph" w:styleId="66">
    <w:name w:val="Body Text 2"/>
    <w:basedOn w:val="1"/>
    <w:link w:val="222"/>
    <w:qFormat/>
    <w:uiPriority w:val="99"/>
    <w:rPr>
      <w:rFonts w:asciiTheme="minorHAnsi" w:hAnsiTheme="minorHAnsi" w:eastAsiaTheme="minorEastAsia"/>
    </w:rPr>
  </w:style>
  <w:style w:type="paragraph" w:styleId="67">
    <w:name w:val="List 4"/>
    <w:basedOn w:val="1"/>
    <w:qFormat/>
    <w:uiPriority w:val="99"/>
    <w:pPr>
      <w:ind w:left="100" w:leftChars="600" w:hanging="200" w:hangingChars="200"/>
    </w:pPr>
  </w:style>
  <w:style w:type="paragraph" w:styleId="68">
    <w:name w:val="List Continue 2"/>
    <w:basedOn w:val="1"/>
    <w:qFormat/>
    <w:uiPriority w:val="99"/>
    <w:pPr>
      <w:spacing w:after="120"/>
      <w:ind w:left="840" w:leftChars="400"/>
    </w:pPr>
  </w:style>
  <w:style w:type="paragraph" w:styleId="69">
    <w:name w:val="Message Header"/>
    <w:basedOn w:val="1"/>
    <w:link w:val="217"/>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sz w:val="24"/>
      <w:szCs w:val="24"/>
    </w:rPr>
  </w:style>
  <w:style w:type="paragraph" w:styleId="7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1">
    <w:name w:val="List Continue 3"/>
    <w:basedOn w:val="1"/>
    <w:qFormat/>
    <w:uiPriority w:val="99"/>
    <w:pPr>
      <w:spacing w:after="120"/>
      <w:ind w:left="1260" w:leftChars="600"/>
    </w:pPr>
  </w:style>
  <w:style w:type="paragraph" w:styleId="72">
    <w:name w:val="index 1"/>
    <w:basedOn w:val="1"/>
    <w:next w:val="1"/>
    <w:qFormat/>
    <w:uiPriority w:val="0"/>
    <w:rPr>
      <w:sz w:val="24"/>
      <w:szCs w:val="24"/>
    </w:rPr>
  </w:style>
  <w:style w:type="paragraph" w:styleId="73">
    <w:name w:val="Title"/>
    <w:basedOn w:val="1"/>
    <w:link w:val="211"/>
    <w:qFormat/>
    <w:uiPriority w:val="0"/>
    <w:pPr>
      <w:spacing w:before="240" w:after="60" w:line="276" w:lineRule="auto"/>
      <w:jc w:val="center"/>
      <w:outlineLvl w:val="0"/>
    </w:pPr>
    <w:rPr>
      <w:rFonts w:ascii="Cambria" w:hAnsi="Cambria" w:cs="Cambria" w:eastAsiaTheme="minorEastAsia"/>
      <w:b/>
      <w:bCs/>
      <w:sz w:val="32"/>
      <w:szCs w:val="32"/>
    </w:rPr>
  </w:style>
  <w:style w:type="paragraph" w:styleId="74">
    <w:name w:val="annotation subject"/>
    <w:basedOn w:val="26"/>
    <w:next w:val="26"/>
    <w:link w:val="177"/>
    <w:semiHidden/>
    <w:qFormat/>
    <w:uiPriority w:val="99"/>
    <w:rPr>
      <w:rFonts w:ascii="Calibri" w:hAnsi="Calibri" w:cs="Calibri"/>
      <w:b/>
      <w:bCs/>
      <w:lang w:eastAsia="en-US"/>
    </w:rPr>
  </w:style>
  <w:style w:type="paragraph" w:styleId="75">
    <w:name w:val="Body Text First Indent"/>
    <w:basedOn w:val="31"/>
    <w:link w:val="220"/>
    <w:qFormat/>
    <w:uiPriority w:val="99"/>
    <w:pPr>
      <w:spacing w:line="400" w:lineRule="exact"/>
      <w:ind w:firstLine="200" w:firstLineChars="200"/>
    </w:pPr>
    <w:rPr>
      <w:rFonts w:eastAsia="宋体"/>
    </w:rPr>
  </w:style>
  <w:style w:type="paragraph" w:styleId="76">
    <w:name w:val="Body Text First Indent 2"/>
    <w:basedOn w:val="32"/>
    <w:next w:val="1"/>
    <w:link w:val="156"/>
    <w:qFormat/>
    <w:uiPriority w:val="99"/>
    <w:pPr>
      <w:spacing w:after="120" w:line="276" w:lineRule="auto"/>
      <w:ind w:left="420" w:leftChars="200" w:firstLine="420" w:firstLineChars="200"/>
      <w:jc w:val="left"/>
    </w:pPr>
  </w:style>
  <w:style w:type="table" w:styleId="78">
    <w:name w:val="Table Grid"/>
    <w:basedOn w:val="77"/>
    <w:qFormat/>
    <w:uiPriority w:val="5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Theme"/>
    <w:basedOn w:val="77"/>
    <w:semiHidden/>
    <w:qFormat/>
    <w:uiPriority w:val="9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0">
    <w:name w:val="Table Colorful 1"/>
    <w:basedOn w:val="77"/>
    <w:semiHidden/>
    <w:qFormat/>
    <w:uiPriority w:val="99"/>
    <w:pPr>
      <w:widowControl w:val="0"/>
      <w:spacing w:after="200" w:line="276" w:lineRule="auto"/>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New York"/>
        <w:b/>
        <w:bCs/>
        <w:i/>
        <w:iCs/>
      </w:rPr>
      <w:tblPr/>
      <w:tcPr>
        <w:tcBorders>
          <w:top w:val="nil"/>
          <w:left w:val="nil"/>
          <w:bottom w:val="nil"/>
          <w:right w:val="nil"/>
          <w:insideH w:val="nil"/>
          <w:insideV w:val="nil"/>
          <w:tl2br w:val="nil"/>
          <w:tr2bl w:val="nil"/>
        </w:tcBorders>
        <w:shd w:val="solid" w:color="000000" w:fill="FFFFFF"/>
      </w:tcPr>
    </w:tblStylePr>
    <w:tblStylePr w:type="firstCol">
      <w:rPr>
        <w:rFonts w:cs="New York"/>
        <w:b/>
        <w:bCs/>
        <w:i/>
        <w:iCs/>
      </w:rPr>
      <w:tblPr/>
      <w:tcPr>
        <w:tcBorders>
          <w:top w:val="nil"/>
          <w:left w:val="nil"/>
          <w:bottom w:val="nil"/>
          <w:right w:val="nil"/>
          <w:insideH w:val="nil"/>
          <w:insideV w:val="nil"/>
          <w:tl2br w:val="nil"/>
          <w:tr2bl w:val="nil"/>
        </w:tcBorders>
        <w:shd w:val="solid" w:color="000080" w:fill="FFFFFF"/>
      </w:tcPr>
    </w:tblStylePr>
    <w:tblStylePr w:type="nwCell">
      <w:rPr>
        <w:rFonts w:cs="New York"/>
      </w:rPr>
      <w:tblPr/>
      <w:tcPr>
        <w:tcBorders>
          <w:top w:val="nil"/>
          <w:left w:val="nil"/>
          <w:bottom w:val="nil"/>
          <w:right w:val="nil"/>
          <w:insideH w:val="nil"/>
          <w:insideV w:val="nil"/>
          <w:tl2br w:val="nil"/>
          <w:tr2bl w:val="nil"/>
        </w:tcBorders>
        <w:shd w:val="solid" w:color="000000" w:fill="FFFFFF"/>
      </w:tcPr>
    </w:tblStylePr>
    <w:tblStylePr w:type="swCell">
      <w:rPr>
        <w:rFonts w:cs="New York"/>
        <w:b/>
        <w:bCs/>
        <w:i w:val="0"/>
        <w:iCs w:val="0"/>
      </w:rPr>
      <w:tblPr/>
      <w:tcPr>
        <w:tcBorders>
          <w:top w:val="nil"/>
          <w:left w:val="nil"/>
          <w:bottom w:val="nil"/>
          <w:right w:val="nil"/>
          <w:insideH w:val="nil"/>
          <w:insideV w:val="nil"/>
          <w:tl2br w:val="nil"/>
          <w:tr2bl w:val="nil"/>
        </w:tcBorders>
      </w:tcPr>
    </w:tblStylePr>
  </w:style>
  <w:style w:type="table" w:styleId="81">
    <w:name w:val="Table Colorful 2"/>
    <w:basedOn w:val="77"/>
    <w:semiHidden/>
    <w:qFormat/>
    <w:uiPriority w:val="99"/>
    <w:pPr>
      <w:widowControl w:val="0"/>
      <w:spacing w:after="200" w:line="276" w:lineRule="auto"/>
    </w:pPr>
    <w:rPr>
      <w:rFonts w:ascii="Calibri" w:hAnsi="Calibri" w:cs="Calibri"/>
    </w:rPr>
    <w:tblPr>
      <w:tblBorders>
        <w:bottom w:val="single" w:color="000000" w:sz="12" w:space="0"/>
      </w:tblBorders>
    </w:tblPr>
    <w:tcPr>
      <w:shd w:val="pct20" w:color="FFFF00" w:fill="FFFFFF"/>
    </w:tcPr>
    <w:tblStylePr w:type="firstRow">
      <w:rPr>
        <w:rFonts w:cs="New York"/>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rFonts w:cs="New York"/>
        <w:b/>
        <w:bCs/>
        <w:i/>
        <w:iCs/>
      </w:rPr>
      <w:tblPr/>
      <w:tcPr>
        <w:tcBorders>
          <w:top w:val="nil"/>
          <w:left w:val="nil"/>
          <w:bottom w:val="nil"/>
          <w:right w:val="nil"/>
          <w:insideH w:val="nil"/>
          <w:insideV w:val="nil"/>
          <w:tl2br w:val="nil"/>
          <w:tr2bl w:val="nil"/>
        </w:tcBorders>
      </w:tcPr>
    </w:tblStylePr>
    <w:tblStylePr w:type="lastCol">
      <w:rPr>
        <w:rFonts w:cs="New York"/>
      </w:rPr>
      <w:tblPr/>
      <w:tcPr>
        <w:tcBorders>
          <w:top w:val="nil"/>
          <w:left w:val="nil"/>
          <w:bottom w:val="nil"/>
          <w:right w:val="nil"/>
          <w:insideH w:val="nil"/>
          <w:insideV w:val="nil"/>
          <w:tl2br w:val="nil"/>
          <w:tr2bl w:val="nil"/>
        </w:tcBorders>
        <w:shd w:val="solid" w:color="C0C0C0" w:fill="FFFFFF"/>
      </w:tcPr>
    </w:tblStylePr>
    <w:tblStylePr w:type="swCell">
      <w:rPr>
        <w:rFonts w:cs="New York"/>
        <w:b/>
        <w:bCs/>
        <w:i w:val="0"/>
        <w:iCs w:val="0"/>
      </w:rPr>
      <w:tblPr/>
      <w:tcPr>
        <w:tcBorders>
          <w:top w:val="nil"/>
          <w:left w:val="nil"/>
          <w:bottom w:val="nil"/>
          <w:right w:val="nil"/>
          <w:insideH w:val="nil"/>
          <w:insideV w:val="nil"/>
          <w:tl2br w:val="nil"/>
          <w:tr2bl w:val="nil"/>
        </w:tcBorders>
      </w:tcPr>
    </w:tblStylePr>
  </w:style>
  <w:style w:type="table" w:styleId="82">
    <w:name w:val="Table Colorful 3"/>
    <w:basedOn w:val="77"/>
    <w:semiHidden/>
    <w:qFormat/>
    <w:uiPriority w:val="99"/>
    <w:pPr>
      <w:widowControl w:val="0"/>
      <w:spacing w:after="200" w:line="276" w:lineRule="auto"/>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New York"/>
      </w:rPr>
      <w:tblPr/>
      <w:tcPr>
        <w:tcBorders>
          <w:top w:val="nil"/>
          <w:left w:val="single" w:color="000000" w:sz="6" w:space="0"/>
          <w:bottom w:val="nil"/>
          <w:right w:val="nil"/>
          <w:insideH w:val="nil"/>
          <w:insideV w:val="nil"/>
          <w:tl2br w:val="nil"/>
          <w:tr2bl w:val="nil"/>
        </w:tcBorders>
        <w:shd w:val="solid" w:color="008080" w:fill="FFFFFF"/>
      </w:tcPr>
    </w:tblStylePr>
    <w:tblStylePr w:type="firstCol">
      <w:rPr>
        <w:rFonts w:cs="New York"/>
      </w:rPr>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rFonts w:cs="New York"/>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Elegant"/>
    <w:basedOn w:val="77"/>
    <w:semiHidden/>
    <w:qFormat/>
    <w:uiPriority w:val="99"/>
    <w:pPr>
      <w:widowControl w:val="0"/>
      <w:spacing w:after="200" w:line="276" w:lineRule="auto"/>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New York"/>
        <w:caps/>
        <w:color w:val="auto"/>
      </w:rPr>
      <w:tblPr/>
      <w:tcPr>
        <w:tcBorders>
          <w:top w:val="nil"/>
          <w:left w:val="nil"/>
          <w:bottom w:val="nil"/>
          <w:right w:val="nil"/>
          <w:insideH w:val="nil"/>
          <w:insideV w:val="nil"/>
          <w:tl2br w:val="nil"/>
          <w:tr2bl w:val="nil"/>
        </w:tcBorders>
      </w:tcPr>
    </w:tblStylePr>
  </w:style>
  <w:style w:type="table" w:styleId="84">
    <w:name w:val="Table Classic 1"/>
    <w:basedOn w:val="77"/>
    <w:semiHidden/>
    <w:qFormat/>
    <w:uiPriority w:val="99"/>
    <w:pPr>
      <w:widowControl w:val="0"/>
      <w:spacing w:after="200" w:line="276" w:lineRule="auto"/>
    </w:pPr>
    <w:rPr>
      <w:rFonts w:ascii="Calibri" w:hAnsi="Calibri" w:cs="Calibri"/>
    </w:rPr>
    <w:tblPr>
      <w:tblBorders>
        <w:top w:val="single" w:color="000000" w:sz="12" w:space="0"/>
        <w:bottom w:val="single" w:color="000000" w:sz="12" w:space="0"/>
      </w:tblBorders>
    </w:tblPr>
    <w:tblStylePr w:type="firstRow">
      <w:rPr>
        <w:rFonts w:cs="New York"/>
        <w:i/>
        <w:iCs/>
      </w:rPr>
      <w:tblPr/>
      <w:tcPr>
        <w:tcBorders>
          <w:top w:val="nil"/>
          <w:left w:val="single" w:color="000000" w:sz="6" w:space="0"/>
          <w:bottom w:val="nil"/>
          <w:right w:val="nil"/>
          <w:insideH w:val="nil"/>
          <w:insideV w:val="nil"/>
          <w:tl2br w:val="nil"/>
          <w:tr2bl w:val="nil"/>
        </w:tcBorders>
      </w:tcPr>
    </w:tblStylePr>
    <w:tblStylePr w:type="lastRow">
      <w:rPr>
        <w:rFonts w:cs="New York"/>
        <w:color w:val="auto"/>
      </w:rPr>
      <w:tblPr/>
      <w:tcPr>
        <w:tcBorders>
          <w:top w:val="single" w:color="000000" w:sz="6" w:space="0"/>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000000" w:sz="6" w:space="0"/>
          <w:insideH w:val="nil"/>
          <w:insideV w:val="nil"/>
          <w:tl2br w:val="nil"/>
          <w:tr2bl w:val="nil"/>
        </w:tcBorders>
      </w:tcPr>
    </w:tblStylePr>
    <w:tblStylePr w:type="neCell">
      <w:rPr>
        <w:rFonts w:cs="New York"/>
        <w:b/>
        <w:bCs/>
        <w:i w:val="0"/>
        <w:iCs w:val="0"/>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85">
    <w:name w:val="Table Classic 2"/>
    <w:basedOn w:val="77"/>
    <w:semiHidden/>
    <w:qFormat/>
    <w:uiPriority w:val="99"/>
    <w:pPr>
      <w:widowControl w:val="0"/>
      <w:spacing w:after="200" w:line="276" w:lineRule="auto"/>
    </w:pPr>
    <w:rPr>
      <w:rFonts w:ascii="Calibri" w:hAnsi="Calibri" w:cs="Calibri"/>
    </w:rPr>
    <w:tblPr>
      <w:tblBorders>
        <w:top w:val="single" w:color="000000" w:sz="12" w:space="0"/>
        <w:bottom w:val="single" w:color="000000" w:sz="12" w:space="0"/>
      </w:tblBorders>
    </w:tblPr>
    <w:tblStylePr w:type="firstRow">
      <w:rPr>
        <w:rFonts w:cs="New York"/>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rPr>
        <w:rFonts w:cs="New York"/>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shd w:val="solid" w:color="C0C0C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nil"/>
          <w:tr2bl w:val="nil"/>
        </w:tcBorders>
        <w:shd w:val="solid" w:color="800080" w:fill="FFFFFF"/>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86">
    <w:name w:val="Table Classic 3"/>
    <w:basedOn w:val="77"/>
    <w:semiHidden/>
    <w:qFormat/>
    <w:uiPriority w:val="99"/>
    <w:pPr>
      <w:widowControl w:val="0"/>
      <w:spacing w:after="200" w:line="276" w:lineRule="auto"/>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New York"/>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rFonts w:cs="New York"/>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New York"/>
        <w:b/>
        <w:bCs/>
        <w:color w:val="000000"/>
      </w:rPr>
      <w:tblPr/>
      <w:tcPr>
        <w:tcBorders>
          <w:top w:val="nil"/>
          <w:left w:val="nil"/>
          <w:bottom w:val="nil"/>
          <w:right w:val="nil"/>
          <w:insideH w:val="nil"/>
          <w:insideV w:val="nil"/>
          <w:tl2br w:val="nil"/>
          <w:tr2bl w:val="nil"/>
        </w:tcBorders>
      </w:tcPr>
    </w:tblStylePr>
  </w:style>
  <w:style w:type="table" w:styleId="87">
    <w:name w:val="Table Classic 4"/>
    <w:basedOn w:val="77"/>
    <w:semiHidden/>
    <w:qFormat/>
    <w:uiPriority w:val="99"/>
    <w:pPr>
      <w:widowControl w:val="0"/>
      <w:spacing w:after="200" w:line="276" w:lineRule="auto"/>
    </w:pPr>
    <w:rPr>
      <w:rFonts w:ascii="Calibri" w:hAnsi="Calibri" w:cs="Calibri"/>
    </w:rPr>
    <w:tblPr>
      <w:tblBorders>
        <w:top w:val="single" w:color="000000" w:sz="12" w:space="0"/>
        <w:left w:val="single" w:color="000000" w:sz="6" w:space="0"/>
        <w:bottom w:val="single" w:color="000000" w:sz="12" w:space="0"/>
        <w:right w:val="single" w:color="000000" w:sz="6" w:space="0"/>
      </w:tblBorders>
    </w:tblPr>
    <w:tblStylePr w:type="firstRow">
      <w:rPr>
        <w:rFonts w:cs="New York"/>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rFonts w:cs="New York"/>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rFonts w:cs="New York"/>
        <w:b/>
        <w:bCs/>
      </w:rPr>
      <w:tblPr/>
      <w:tcPr>
        <w:tcBorders>
          <w:top w:val="nil"/>
          <w:left w:val="nil"/>
          <w:bottom w:val="nil"/>
          <w:right w:val="nil"/>
          <w:insideH w:val="nil"/>
          <w:insideV w:val="nil"/>
          <w:tl2br w:val="nil"/>
          <w:tr2bl w:val="nil"/>
        </w:tcBorders>
      </w:tcPr>
    </w:tblStylePr>
    <w:tblStylePr w:type="nwCell">
      <w:rPr>
        <w:rFonts w:cs="New York"/>
        <w:b/>
        <w:bCs/>
      </w:rPr>
      <w:tblPr/>
      <w:tcPr>
        <w:tcBorders>
          <w:top w:val="nil"/>
          <w:left w:val="nil"/>
          <w:bottom w:val="nil"/>
          <w:right w:val="nil"/>
          <w:insideH w:val="nil"/>
          <w:insideV w:val="nil"/>
          <w:tl2br w:val="nil"/>
          <w:tr2bl w:val="nil"/>
        </w:tcBorders>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88">
    <w:name w:val="Table Simple 1"/>
    <w:basedOn w:val="77"/>
    <w:semiHidden/>
    <w:qFormat/>
    <w:uiPriority w:val="99"/>
    <w:pPr>
      <w:widowControl w:val="0"/>
      <w:spacing w:after="200" w:line="276" w:lineRule="auto"/>
    </w:pPr>
    <w:rPr>
      <w:rFonts w:ascii="Calibri" w:hAnsi="Calibri" w:cs="Calibri"/>
    </w:rPr>
    <w:tblPr>
      <w:tblBorders>
        <w:top w:val="single" w:color="008000" w:sz="12" w:space="0"/>
        <w:bottom w:val="single" w:color="008000" w:sz="12" w:space="0"/>
      </w:tblBorders>
    </w:tblPr>
    <w:tblStylePr w:type="firstRow">
      <w:rPr>
        <w:rFonts w:cs="New York"/>
      </w:rPr>
      <w:tblPr/>
      <w:tcPr>
        <w:tcBorders>
          <w:top w:val="nil"/>
          <w:left w:val="single" w:color="008000" w:sz="6" w:space="0"/>
          <w:bottom w:val="nil"/>
          <w:right w:val="nil"/>
          <w:insideH w:val="nil"/>
          <w:insideV w:val="nil"/>
          <w:tl2br w:val="nil"/>
          <w:tr2bl w:val="nil"/>
        </w:tcBorders>
      </w:tcPr>
    </w:tblStylePr>
    <w:tblStylePr w:type="lastRow">
      <w:rPr>
        <w:rFonts w:cs="New York"/>
      </w:rPr>
      <w:tblPr/>
      <w:tcPr>
        <w:tcBorders>
          <w:top w:val="single" w:color="008000" w:sz="6" w:space="0"/>
          <w:left w:val="nil"/>
          <w:bottom w:val="nil"/>
          <w:right w:val="nil"/>
          <w:insideH w:val="nil"/>
          <w:insideV w:val="nil"/>
          <w:tl2br w:val="nil"/>
          <w:tr2bl w:val="nil"/>
        </w:tcBorders>
      </w:tcPr>
    </w:tblStylePr>
  </w:style>
  <w:style w:type="table" w:styleId="89">
    <w:name w:val="Table Simple 2"/>
    <w:basedOn w:val="77"/>
    <w:semiHidden/>
    <w:qFormat/>
    <w:uiPriority w:val="99"/>
    <w:pPr>
      <w:widowControl w:val="0"/>
      <w:spacing w:after="200" w:line="276" w:lineRule="auto"/>
    </w:pPr>
    <w:rPr>
      <w:rFonts w:ascii="Calibri" w:hAnsi="Calibri" w:cs="Calibri"/>
    </w:rPr>
    <w:tblPr/>
    <w:tblStylePr w:type="firstRow">
      <w:rPr>
        <w:rFonts w:cs="New York"/>
        <w:b/>
        <w:bCs/>
      </w:rPr>
      <w:tblPr/>
      <w:tcPr>
        <w:tcBorders>
          <w:top w:val="nil"/>
          <w:left w:val="single" w:color="000000" w:sz="12" w:space="0"/>
          <w:bottom w:val="nil"/>
          <w:right w:val="nil"/>
          <w:insideH w:val="nil"/>
          <w:insideV w:val="nil"/>
          <w:tl2br w:val="nil"/>
          <w:tr2bl w:val="nil"/>
        </w:tcBorders>
      </w:tcPr>
    </w:tblStylePr>
    <w:tblStylePr w:type="lastRow">
      <w:rPr>
        <w:rFonts w:cs="New York"/>
        <w:b/>
        <w:bCs/>
        <w:color w:val="auto"/>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single" w:color="000000" w:sz="12" w:space="0"/>
          <w:insideH w:val="nil"/>
          <w:insideV w:val="nil"/>
          <w:tl2br w:val="nil"/>
          <w:tr2bl w:val="nil"/>
        </w:tcBorders>
      </w:tcPr>
    </w:tblStylePr>
    <w:tblStylePr w:type="lastCol">
      <w:rPr>
        <w:rFonts w:cs="New York"/>
        <w:b/>
        <w:bCs/>
      </w:rPr>
      <w:tblPr/>
      <w:tcPr>
        <w:tcBorders>
          <w:top w:val="nil"/>
          <w:left w:val="nil"/>
          <w:bottom w:val="single" w:color="000000" w:sz="6" w:space="0"/>
          <w:right w:val="nil"/>
          <w:insideH w:val="nil"/>
          <w:insideV w:val="nil"/>
          <w:tl2br w:val="nil"/>
          <w:tr2bl w:val="nil"/>
        </w:tcBorders>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0">
    <w:name w:val="Table Simple 3"/>
    <w:basedOn w:val="77"/>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blStylePr w:type="firstRow">
      <w:rPr>
        <w:rFonts w:cs="New York"/>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Subtle 1"/>
    <w:basedOn w:val="77"/>
    <w:semiHidden/>
    <w:qFormat/>
    <w:uiPriority w:val="99"/>
    <w:pPr>
      <w:widowControl w:val="0"/>
      <w:spacing w:after="200" w:line="276" w:lineRule="auto"/>
    </w:pPr>
    <w:rPr>
      <w:rFonts w:ascii="Calibri" w:hAnsi="Calibri" w:cs="Calibri"/>
    </w:rPr>
    <w:tblPr>
      <w:tblStyleRowBandSize w:val="1"/>
    </w:tblPr>
    <w:tblStylePr w:type="firstRow">
      <w:rPr>
        <w:rFonts w:cs="New York"/>
      </w:rPr>
      <w:tblPr/>
      <w:tcPr>
        <w:tcBorders>
          <w:top w:val="single" w:color="000000" w:sz="6" w:space="0"/>
          <w:left w:val="single" w:color="000000" w:sz="12" w:space="0"/>
          <w:bottom w:val="nil"/>
          <w:right w:val="nil"/>
          <w:insideH w:val="nil"/>
          <w:insideV w:val="nil"/>
          <w:tl2br w:val="nil"/>
          <w:tr2bl w:val="nil"/>
        </w:tcBorders>
      </w:tcPr>
    </w:tblStylePr>
    <w:tblStylePr w:type="lastRow">
      <w:rPr>
        <w:rFonts w:cs="New York"/>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New York"/>
      </w:rPr>
      <w:tblPr/>
      <w:tcPr>
        <w:tcBorders>
          <w:top w:val="nil"/>
          <w:left w:val="nil"/>
          <w:bottom w:val="nil"/>
          <w:right w:val="single" w:color="000000" w:sz="12" w:space="0"/>
          <w:insideH w:val="nil"/>
          <w:insideV w:val="nil"/>
          <w:tl2br w:val="nil"/>
          <w:tr2bl w:val="nil"/>
        </w:tcBorders>
      </w:tcPr>
    </w:tblStylePr>
    <w:tblStylePr w:type="lastCol">
      <w:rPr>
        <w:rFonts w:cs="New York"/>
      </w:rPr>
      <w:tblPr/>
      <w:tcPr>
        <w:tcBorders>
          <w:top w:val="nil"/>
          <w:left w:val="nil"/>
          <w:bottom w:val="single" w:color="000000" w:sz="12" w:space="0"/>
          <w:right w:val="nil"/>
          <w:insideH w:val="nil"/>
          <w:insideV w:val="nil"/>
          <w:tl2br w:val="nil"/>
          <w:tr2bl w:val="nil"/>
        </w:tcBorders>
      </w:tcPr>
    </w:tblStylePr>
    <w:tblStylePr w:type="band1Horz">
      <w:rPr>
        <w:rFonts w:cs="New York"/>
      </w:rPr>
      <w:tblPr/>
      <w:tcPr>
        <w:tcBorders>
          <w:top w:val="nil"/>
          <w:left w:val="single" w:color="000000" w:sz="6" w:space="0"/>
          <w:bottom w:val="nil"/>
          <w:right w:val="nil"/>
          <w:insideH w:val="nil"/>
          <w:insideV w:val="nil"/>
          <w:tl2br w:val="nil"/>
          <w:tr2bl w:val="nil"/>
        </w:tcBorders>
        <w:shd w:val="pct25" w:color="8080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2">
    <w:name w:val="Table Subtle 2"/>
    <w:basedOn w:val="77"/>
    <w:semiHidden/>
    <w:qFormat/>
    <w:uiPriority w:val="99"/>
    <w:pPr>
      <w:widowControl w:val="0"/>
      <w:spacing w:after="200" w:line="276" w:lineRule="auto"/>
    </w:pPr>
    <w:rPr>
      <w:rFonts w:ascii="Calibri" w:hAnsi="Calibri" w:cs="Calibri"/>
    </w:rPr>
    <w:tblPr>
      <w:tblBorders>
        <w:left w:val="single" w:color="000000" w:sz="6" w:space="0"/>
        <w:right w:val="single" w:color="000000" w:sz="6" w:space="0"/>
      </w:tblBorders>
    </w:tblPr>
    <w:tblStylePr w:type="firstRow">
      <w:rPr>
        <w:rFonts w:cs="New York"/>
      </w:rPr>
      <w:tblPr/>
      <w:tcPr>
        <w:tcBorders>
          <w:top w:val="nil"/>
          <w:left w:val="single" w:color="000000" w:sz="12" w:space="0"/>
          <w:bottom w:val="nil"/>
          <w:right w:val="nil"/>
          <w:insideH w:val="nil"/>
          <w:insideV w:val="nil"/>
          <w:tl2br w:val="nil"/>
          <w:tr2bl w:val="nil"/>
        </w:tcBorders>
      </w:tcPr>
    </w:tblStylePr>
    <w:tblStylePr w:type="lastRow">
      <w:rPr>
        <w:rFonts w:cs="New York"/>
      </w:rPr>
      <w:tblPr/>
      <w:tcPr>
        <w:tcBorders>
          <w:top w:val="single" w:color="000000" w:sz="12" w:space="0"/>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New York"/>
      </w:rPr>
      <w:tblPr/>
      <w:tcPr>
        <w:tcBorders>
          <w:top w:val="nil"/>
          <w:left w:val="nil"/>
          <w:bottom w:val="single" w:color="000000" w:sz="12" w:space="0"/>
          <w:right w:val="nil"/>
          <w:insideH w:val="nil"/>
          <w:insideV w:val="nil"/>
          <w:tl2br w:val="nil"/>
          <w:tr2bl w:val="nil"/>
        </w:tcBorders>
        <w:shd w:val="pct25" w:color="8080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3">
    <w:name w:val="Table 3D effects 1"/>
    <w:basedOn w:val="77"/>
    <w:semiHidden/>
    <w:qFormat/>
    <w:uiPriority w:val="99"/>
    <w:pPr>
      <w:widowControl w:val="0"/>
      <w:spacing w:after="200" w:line="276" w:lineRule="auto"/>
    </w:pPr>
    <w:rPr>
      <w:rFonts w:ascii="Calibri" w:hAnsi="Calibri" w:cs="Calibri"/>
    </w:rPr>
    <w:tblPr/>
    <w:tcPr>
      <w:shd w:val="solid" w:color="C0C0C0" w:fill="FFFFFF"/>
    </w:tcPr>
    <w:tblStylePr w:type="firstRow">
      <w:rPr>
        <w:rFonts w:cs="New York"/>
        <w:b/>
        <w:bCs/>
        <w:color w:val="800080"/>
      </w:rPr>
      <w:tblPr/>
      <w:tcPr>
        <w:tcBorders>
          <w:top w:val="nil"/>
          <w:left w:val="single" w:color="808080" w:sz="6" w:space="0"/>
          <w:bottom w:val="nil"/>
          <w:right w:val="nil"/>
          <w:insideH w:val="nil"/>
          <w:insideV w:val="nil"/>
          <w:tl2br w:val="nil"/>
          <w:tr2bl w:val="nil"/>
        </w:tcBorders>
      </w:tcPr>
    </w:tblStylePr>
    <w:tblStylePr w:type="lastRow">
      <w:rPr>
        <w:rFonts w:cs="New York"/>
      </w:rPr>
      <w:tblPr/>
      <w:tcPr>
        <w:tcBorders>
          <w:top w:val="single" w:color="FFFFFF"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single" w:color="808080" w:sz="6" w:space="0"/>
          <w:insideH w:val="nil"/>
          <w:insideV w:val="nil"/>
          <w:tl2br w:val="nil"/>
          <w:tr2bl w:val="nil"/>
        </w:tcBorders>
      </w:tcPr>
    </w:tblStylePr>
    <w:tblStylePr w:type="lastCol">
      <w:rPr>
        <w:rFonts w:cs="New York"/>
      </w:rPr>
      <w:tblPr/>
      <w:tcPr>
        <w:tcBorders>
          <w:top w:val="nil"/>
          <w:left w:val="nil"/>
          <w:bottom w:val="single" w:color="FFFFFF" w:sz="6" w:space="0"/>
          <w:right w:val="nil"/>
          <w:insideH w:val="nil"/>
          <w:insideV w:val="nil"/>
          <w:tl2br w:val="nil"/>
          <w:tr2bl w:val="nil"/>
        </w:tcBorders>
      </w:tcPr>
    </w:tblStylePr>
    <w:tblStylePr w:type="neCell">
      <w:rPr>
        <w:rFonts w:cs="New York"/>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nil"/>
          <w:tr2bl w:val="nil"/>
        </w:tcBorders>
      </w:tcPr>
    </w:tblStylePr>
    <w:tblStylePr w:type="seCell">
      <w:rPr>
        <w:rFonts w:cs="New York"/>
      </w:rPr>
      <w:tblPr/>
      <w:tcPr>
        <w:tcBorders>
          <w:top w:val="nil"/>
          <w:left w:val="nil"/>
          <w:bottom w:val="nil"/>
          <w:right w:val="nil"/>
          <w:insideH w:val="nil"/>
          <w:insideV w:val="nil"/>
          <w:tl2br w:val="nil"/>
          <w:tr2bl w:val="nil"/>
        </w:tcBorders>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94">
    <w:name w:val="Table 3D effects 2"/>
    <w:basedOn w:val="77"/>
    <w:semiHidden/>
    <w:qFormat/>
    <w:uiPriority w:val="99"/>
    <w:pPr>
      <w:widowControl w:val="0"/>
      <w:spacing w:after="200" w:line="276" w:lineRule="auto"/>
    </w:pPr>
    <w:rPr>
      <w:rFonts w:ascii="Calibri" w:hAnsi="Calibri" w:cs="Calibri"/>
    </w:rPr>
    <w:tblPr>
      <w:tblStyleRowBandSize w:val="1"/>
    </w:tblPr>
    <w:tcPr>
      <w:shd w:val="solid" w:color="C0C0C0" w:fill="FFFFFF"/>
    </w:tcPr>
    <w:tblStylePr w:type="firstRow">
      <w:rPr>
        <w:rFonts w:cs="New York"/>
        <w:b/>
        <w:bCs/>
      </w:rPr>
      <w:tblPr/>
      <w:tcPr>
        <w:tcBorders>
          <w:top w:val="nil"/>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808080" w:sz="6" w:space="0"/>
          <w:insideH w:val="nil"/>
          <w:insideV w:val="nil"/>
          <w:tl2br w:val="nil"/>
          <w:tr2bl w:val="nil"/>
        </w:tcBorders>
      </w:tcPr>
    </w:tblStylePr>
    <w:tblStylePr w:type="lastCol">
      <w:rPr>
        <w:rFonts w:cs="New York"/>
      </w:rPr>
      <w:tblPr/>
      <w:tcPr>
        <w:tcBorders>
          <w:top w:val="nil"/>
          <w:left w:val="nil"/>
          <w:bottom w:val="nil"/>
          <w:right w:val="single" w:color="FFFFFF" w:sz="6" w:space="0"/>
          <w:insideH w:val="nil"/>
          <w:insideV w:val="nil"/>
          <w:tl2br w:val="nil"/>
          <w:tr2bl w:val="nil"/>
        </w:tcBorders>
      </w:tcPr>
    </w:tblStylePr>
    <w:tblStylePr w:type="band1Horz">
      <w:rPr>
        <w:rFonts w:cs="New York"/>
      </w:rPr>
      <w:tblPr/>
      <w:tcPr>
        <w:tcBorders>
          <w:top w:val="single" w:color="808080" w:sz="6" w:space="0"/>
          <w:left w:val="single" w:color="FFFFFF" w:sz="6" w:space="0"/>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5">
    <w:name w:val="Table 3D effects 3"/>
    <w:basedOn w:val="77"/>
    <w:semiHidden/>
    <w:qFormat/>
    <w:uiPriority w:val="99"/>
    <w:pPr>
      <w:widowControl w:val="0"/>
      <w:spacing w:after="200" w:line="276" w:lineRule="auto"/>
    </w:pPr>
    <w:rPr>
      <w:rFonts w:ascii="Calibri" w:hAnsi="Calibri" w:cs="Calibri"/>
    </w:rPr>
    <w:tblPr>
      <w:tblStyleRowBandSize w:val="1"/>
      <w:tblStyleColBandSize w:val="1"/>
    </w:tblPr>
    <w:tblStylePr w:type="firstRow">
      <w:rPr>
        <w:rFonts w:cs="New York"/>
        <w:b/>
        <w:bCs/>
      </w:rPr>
      <w:tblPr/>
      <w:tcPr>
        <w:tcBorders>
          <w:top w:val="nil"/>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808080" w:sz="6" w:space="0"/>
          <w:insideH w:val="nil"/>
          <w:insideV w:val="nil"/>
          <w:tl2br w:val="nil"/>
          <w:tr2bl w:val="nil"/>
        </w:tcBorders>
      </w:tcPr>
    </w:tblStylePr>
    <w:tblStylePr w:type="lastCol">
      <w:rPr>
        <w:rFonts w:cs="New York"/>
      </w:rPr>
      <w:tblPr/>
      <w:tcPr>
        <w:tcBorders>
          <w:top w:val="nil"/>
          <w:left w:val="nil"/>
          <w:bottom w:val="nil"/>
          <w:right w:val="single" w:color="FFFFFF" w:sz="6" w:space="0"/>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Pr/>
      <w:tcPr>
        <w:shd w:val="pct50" w:color="C0C0C0" w:fill="FFFFFF"/>
      </w:tcPr>
    </w:tblStylePr>
    <w:tblStylePr w:type="band1Horz">
      <w:rPr>
        <w:rFonts w:cs="New York"/>
      </w:rPr>
      <w:tblPr/>
      <w:tcPr>
        <w:tcBorders>
          <w:top w:val="single" w:color="808080" w:sz="6" w:space="0"/>
          <w:left w:val="single" w:color="FFFFFF" w:sz="6" w:space="0"/>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6">
    <w:name w:val="Table List 1"/>
    <w:basedOn w:val="77"/>
    <w:semiHidden/>
    <w:qFormat/>
    <w:uiPriority w:val="99"/>
    <w:pPr>
      <w:widowControl w:val="0"/>
      <w:spacing w:after="200" w:line="276" w:lineRule="auto"/>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rFonts w:cs="New York"/>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rPr>
        <w:rFonts w:cs="New York"/>
      </w:rPr>
      <w:tblPr/>
      <w:tcPr>
        <w:tcBorders>
          <w:top w:val="single" w:color="000000" w:sz="6" w:space="0"/>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New York"/>
        <w:color w:val="auto"/>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7">
    <w:name w:val="Table List 2"/>
    <w:basedOn w:val="77"/>
    <w:semiHidden/>
    <w:qFormat/>
    <w:uiPriority w:val="99"/>
    <w:pPr>
      <w:widowControl w:val="0"/>
      <w:spacing w:after="200" w:line="276" w:lineRule="auto"/>
    </w:pPr>
    <w:rPr>
      <w:rFonts w:ascii="Calibri" w:hAnsi="Calibri" w:cs="Calibri"/>
    </w:rPr>
    <w:tblPr>
      <w:tblBorders>
        <w:bottom w:val="single" w:color="808080" w:sz="12" w:space="0"/>
      </w:tblBorders>
    </w:tblPr>
    <w:tblStylePr w:type="firstRow">
      <w:rPr>
        <w:rFonts w:cs="New York"/>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rPr>
        <w:rFonts w:cs="New York"/>
      </w:rPr>
      <w:tblPr/>
      <w:tcPr>
        <w:tcBorders>
          <w:top w:val="single" w:color="000000" w:sz="6" w:space="0"/>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New York"/>
        <w:color w:val="auto"/>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8">
    <w:name w:val="Table List 3"/>
    <w:basedOn w:val="77"/>
    <w:semiHidden/>
    <w:qFormat/>
    <w:uiPriority w:val="99"/>
    <w:pPr>
      <w:widowControl w:val="0"/>
      <w:spacing w:after="200" w:line="276" w:lineRule="auto"/>
    </w:pPr>
    <w:rPr>
      <w:rFonts w:ascii="Calibri" w:hAnsi="Calibri" w:cs="Calibri"/>
    </w:rPr>
    <w:tblPr>
      <w:tblBorders>
        <w:top w:val="single" w:color="000000" w:sz="12" w:space="0"/>
        <w:bottom w:val="single" w:color="000000" w:sz="12" w:space="0"/>
        <w:insideH w:val="single" w:color="000000" w:sz="6" w:space="0"/>
      </w:tblBorders>
    </w:tblPr>
    <w:tblStylePr w:type="firstRow">
      <w:rPr>
        <w:rFonts w:cs="New York"/>
        <w:b/>
        <w:bCs/>
        <w:color w:val="000080"/>
      </w:rPr>
      <w:tblPr/>
      <w:tcPr>
        <w:tcBorders>
          <w:top w:val="nil"/>
          <w:left w:val="single" w:color="000000" w:sz="12" w:space="0"/>
          <w:bottom w:val="nil"/>
          <w:right w:val="nil"/>
          <w:insideH w:val="nil"/>
          <w:insideV w:val="nil"/>
          <w:tl2br w:val="nil"/>
          <w:tr2bl w:val="nil"/>
        </w:tcBorders>
      </w:tcPr>
    </w:tblStylePr>
    <w:tblStylePr w:type="lastRow">
      <w:rPr>
        <w:rFonts w:cs="New York"/>
      </w:rPr>
      <w:tblPr/>
      <w:tcPr>
        <w:tcBorders>
          <w:top w:val="single" w:color="000000" w:sz="12" w:space="0"/>
          <w:left w:val="nil"/>
          <w:bottom w:val="nil"/>
          <w:right w:val="nil"/>
          <w:insideH w:val="nil"/>
          <w:insideV w:val="nil"/>
          <w:tl2br w:val="nil"/>
          <w:tr2bl w:val="nil"/>
        </w:tcBorders>
      </w:tcPr>
    </w:tblStylePr>
    <w:tblStylePr w:type="swCell">
      <w:rPr>
        <w:rFonts w:cs="New York"/>
        <w:i/>
        <w:iCs/>
        <w:color w:val="000080"/>
      </w:rPr>
      <w:tblPr/>
      <w:tcPr>
        <w:tcBorders>
          <w:top w:val="nil"/>
          <w:left w:val="nil"/>
          <w:bottom w:val="nil"/>
          <w:right w:val="nil"/>
          <w:insideH w:val="nil"/>
          <w:insideV w:val="nil"/>
          <w:tl2br w:val="nil"/>
          <w:tr2bl w:val="nil"/>
        </w:tcBorders>
      </w:tcPr>
    </w:tblStylePr>
  </w:style>
  <w:style w:type="table" w:styleId="99">
    <w:name w:val="Table List 4"/>
    <w:basedOn w:val="77"/>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New York"/>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0">
    <w:name w:val="Table List 5"/>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New York"/>
        <w:b/>
        <w:bCs/>
      </w:rPr>
      <w:tblPr/>
      <w:tcPr>
        <w:tcBorders>
          <w:top w:val="nil"/>
          <w:left w:val="single" w:color="000000" w:sz="12" w:space="0"/>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style>
  <w:style w:type="table" w:styleId="101">
    <w:name w:val="Table List 6"/>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New York"/>
        <w:b/>
        <w:bCs/>
      </w:rPr>
      <w:tblPr/>
      <w:tcPr>
        <w:tcBorders>
          <w:top w:val="nil"/>
          <w:left w:val="single" w:color="000000" w:sz="12" w:space="0"/>
          <w:bottom w:val="nil"/>
          <w:right w:val="nil"/>
          <w:insideH w:val="nil"/>
          <w:insideV w:val="nil"/>
          <w:tl2br w:val="nil"/>
          <w:tr2bl w:val="nil"/>
        </w:tcBorders>
      </w:tcPr>
    </w:tblStylePr>
    <w:tblStylePr w:type="firstCol">
      <w:rPr>
        <w:rFonts w:cs="New York"/>
        <w:b/>
        <w:bCs/>
      </w:rPr>
      <w:tblPr/>
      <w:tcPr>
        <w:tcBorders>
          <w:top w:val="nil"/>
          <w:left w:val="nil"/>
          <w:bottom w:val="nil"/>
          <w:right w:val="single" w:color="000000" w:sz="12" w:space="0"/>
          <w:insideH w:val="nil"/>
          <w:insideV w:val="nil"/>
          <w:tl2br w:val="nil"/>
          <w:tr2bl w:val="nil"/>
        </w:tcBorders>
      </w:tcPr>
    </w:tblStylePr>
    <w:tblStylePr w:type="band1Horz">
      <w:rPr>
        <w:rFonts w:cs="New York"/>
      </w:rPr>
      <w:tblPr/>
      <w:tcPr>
        <w:tcBorders>
          <w:top w:val="nil"/>
          <w:left w:val="nil"/>
          <w:bottom w:val="nil"/>
          <w:right w:val="nil"/>
          <w:insideH w:val="nil"/>
          <w:insideV w:val="nil"/>
          <w:tl2br w:val="nil"/>
          <w:tr2bl w:val="nil"/>
        </w:tcBorders>
        <w:shd w:val="pct25" w:color="000000" w:fill="FFFFFF"/>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02">
    <w:name w:val="Table List 7"/>
    <w:basedOn w:val="77"/>
    <w:semiHidden/>
    <w:qFormat/>
    <w:uiPriority w:val="99"/>
    <w:pPr>
      <w:widowControl w:val="0"/>
      <w:spacing w:after="200" w:line="276" w:lineRule="auto"/>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New York"/>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rFonts w:cs="New York"/>
        <w:b/>
        <w:bCs/>
      </w:rPr>
      <w:tblPr/>
      <w:tcPr>
        <w:tcBorders>
          <w:top w:val="single" w:color="008000" w:sz="12"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New York"/>
      </w:rPr>
      <w:tblPr/>
      <w:tcPr>
        <w:tcBorders>
          <w:top w:val="nil"/>
          <w:left w:val="nil"/>
          <w:bottom w:val="nil"/>
          <w:right w:val="nil"/>
          <w:insideH w:val="nil"/>
          <w:insideV w:val="nil"/>
          <w:tl2br w:val="nil"/>
          <w:tr2bl w:val="nil"/>
        </w:tcBorders>
        <w:shd w:val="pct25" w:color="FFFF00" w:fill="FFFFFF"/>
      </w:tcPr>
    </w:tblStylePr>
  </w:style>
  <w:style w:type="table" w:styleId="103">
    <w:name w:val="Table List 8"/>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New York"/>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rFonts w:cs="New York"/>
        <w:b/>
        <w:bCs/>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New York"/>
      </w:rPr>
      <w:tblPr/>
      <w:tcPr>
        <w:tcBorders>
          <w:top w:val="nil"/>
          <w:left w:val="nil"/>
          <w:bottom w:val="nil"/>
          <w:right w:val="nil"/>
          <w:insideH w:val="nil"/>
          <w:insideV w:val="nil"/>
          <w:tl2br w:val="nil"/>
          <w:tr2bl w:val="nil"/>
        </w:tcBorders>
        <w:shd w:val="pct50" w:color="FF0000" w:fill="FFFFFF"/>
      </w:tcPr>
    </w:tblStylePr>
    <w:tblStylePr w:type="nwCell">
      <w:rPr>
        <w:rFonts w:cs="New York"/>
      </w:rPr>
      <w:tblPr/>
      <w:tcPr>
        <w:tcBorders>
          <w:top w:val="nil"/>
          <w:left w:val="nil"/>
          <w:bottom w:val="nil"/>
          <w:right w:val="nil"/>
          <w:insideH w:val="nil"/>
          <w:insideV w:val="nil"/>
          <w:tl2br w:val="single" w:color="auto" w:sz="6" w:space="0"/>
          <w:tr2bl w:val="nil"/>
        </w:tcBorders>
      </w:tcPr>
    </w:tblStylePr>
  </w:style>
  <w:style w:type="table" w:styleId="104">
    <w:name w:val="Table Contemporary"/>
    <w:basedOn w:val="77"/>
    <w:semiHidden/>
    <w:qFormat/>
    <w:uiPriority w:val="99"/>
    <w:pPr>
      <w:widowControl w:val="0"/>
      <w:spacing w:after="200" w:line="276" w:lineRule="auto"/>
    </w:pPr>
    <w:rPr>
      <w:rFonts w:ascii="Calibri" w:hAnsi="Calibri" w:cs="Calibri"/>
    </w:rPr>
    <w:tblPr>
      <w:tblBorders>
        <w:insideH w:val="single" w:color="FFFFFF" w:sz="18" w:space="0"/>
        <w:insideV w:val="single" w:color="FFFFFF" w:sz="18" w:space="0"/>
      </w:tblBorders>
    </w:tblPr>
    <w:tblStylePr w:type="firstRow">
      <w:rPr>
        <w:rFonts w:cs="New York"/>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New York"/>
        <w:color w:val="auto"/>
      </w:rPr>
      <w:tblPr/>
      <w:tcPr>
        <w:tcBorders>
          <w:top w:val="nil"/>
          <w:left w:val="nil"/>
          <w:bottom w:val="nil"/>
          <w:right w:val="nil"/>
          <w:insideH w:val="nil"/>
          <w:insideV w:val="nil"/>
          <w:tl2br w:val="nil"/>
          <w:tr2bl w:val="nil"/>
        </w:tcBorders>
        <w:shd w:val="pct5" w:color="000000" w:fill="FFFFFF"/>
      </w:tcPr>
    </w:tblStylePr>
    <w:tblStylePr w:type="band2Horz">
      <w:rPr>
        <w:rFonts w:cs="New York"/>
        <w:color w:val="auto"/>
      </w:rPr>
      <w:tblPr/>
      <w:tcPr>
        <w:tcBorders>
          <w:top w:val="nil"/>
          <w:left w:val="nil"/>
          <w:bottom w:val="nil"/>
          <w:right w:val="nil"/>
          <w:insideH w:val="nil"/>
          <w:insideV w:val="nil"/>
          <w:tl2br w:val="nil"/>
          <w:tr2bl w:val="nil"/>
        </w:tcBorders>
        <w:shd w:val="pct20" w:color="000000" w:fill="FFFFFF"/>
      </w:tcPr>
    </w:tblStylePr>
  </w:style>
  <w:style w:type="table" w:styleId="105">
    <w:name w:val="Table Columns 1"/>
    <w:basedOn w:val="77"/>
    <w:semiHidden/>
    <w:qFormat/>
    <w:uiPriority w:val="99"/>
    <w:pPr>
      <w:widowControl w:val="0"/>
      <w:spacing w:after="200" w:line="276" w:lineRule="auto"/>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rFonts w:cs="New York"/>
        <w:b w:val="0"/>
        <w:bCs w:val="0"/>
      </w:rPr>
      <w:tblPr/>
      <w:tcPr>
        <w:tcBorders>
          <w:top w:val="nil"/>
          <w:left w:val="double" w:color="000000" w:sz="6" w:space="0"/>
          <w:bottom w:val="nil"/>
          <w:right w:val="nil"/>
          <w:insideH w:val="nil"/>
          <w:insideV w:val="nil"/>
          <w:tl2br w:val="nil"/>
          <w:tr2bl w:val="nil"/>
        </w:tcBorders>
      </w:tcPr>
    </w:tblStylePr>
    <w:tblStylePr w:type="lastRow">
      <w:rPr>
        <w:rFonts w:cs="New York"/>
        <w:b w:val="0"/>
        <w:bCs w:val="0"/>
      </w:rPr>
      <w:tblPr/>
      <w:tcPr>
        <w:tcBorders>
          <w:top w:val="nil"/>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pct25" w:color="000000" w:fill="FFFFFF"/>
      </w:tcPr>
    </w:tblStylePr>
    <w:tblStylePr w:type="band2Vert">
      <w:rPr>
        <w:rFonts w:cs="New York"/>
        <w:color w:val="auto"/>
      </w:rPr>
      <w:tblPr/>
      <w:tcPr>
        <w:shd w:val="pct25" w:color="FFFF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106">
    <w:name w:val="Table Columns 2"/>
    <w:basedOn w:val="77"/>
    <w:semiHidden/>
    <w:qFormat/>
    <w:uiPriority w:val="99"/>
    <w:pPr>
      <w:widowControl w:val="0"/>
      <w:spacing w:after="200" w:line="276" w:lineRule="auto"/>
    </w:pPr>
    <w:rPr>
      <w:rFonts w:ascii="Calibri" w:hAnsi="Calibri" w:cs="Calibri"/>
      <w:b/>
      <w:bCs/>
    </w:rPr>
    <w:tblPr>
      <w:tblStyleColBandSize w:val="1"/>
    </w:tblPr>
    <w:tblStylePr w:type="firstRow">
      <w:rPr>
        <w:rFonts w:cs="New York"/>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val="0"/>
        <w:bCs w:val="0"/>
      </w:rPr>
      <w:tblPr/>
      <w:tcPr>
        <w:tcBorders>
          <w:top w:val="nil"/>
          <w:left w:val="nil"/>
          <w:bottom w:val="nil"/>
          <w:right w:val="nil"/>
          <w:insideH w:val="nil"/>
          <w:insideV w:val="nil"/>
          <w:tl2br w:val="nil"/>
          <w:tr2bl w:val="nil"/>
        </w:tcBorders>
      </w:tcPr>
    </w:tblStylePr>
    <w:tblStylePr w:type="firstCol">
      <w:rPr>
        <w:rFonts w:cs="New York"/>
        <w:b w:val="0"/>
        <w:bCs w:val="0"/>
        <w:color w:val="00000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pct30" w:color="000000" w:fill="FFFFFF"/>
      </w:tcPr>
    </w:tblStylePr>
    <w:tblStylePr w:type="band2Vert">
      <w:rPr>
        <w:rFonts w:cs="New York"/>
        <w:color w:val="auto"/>
      </w:rPr>
      <w:tblPr/>
      <w:tcPr>
        <w:shd w:val="pct25" w:color="00FF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107">
    <w:name w:val="Table Columns 3"/>
    <w:basedOn w:val="77"/>
    <w:semiHidden/>
    <w:qFormat/>
    <w:uiPriority w:val="99"/>
    <w:pPr>
      <w:widowControl w:val="0"/>
      <w:spacing w:after="200" w:line="276" w:lineRule="auto"/>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New York"/>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val="0"/>
        <w:bCs w:val="0"/>
      </w:rPr>
      <w:tblPr/>
      <w:tcPr>
        <w:tcBorders>
          <w:top w:val="single" w:color="000080" w:sz="6" w:space="0"/>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Pr/>
      <w:tcPr>
        <w:shd w:val="pct10" w:color="000000" w:fill="FFFFFF"/>
      </w:tcPr>
    </w:tblStylePr>
    <w:tblStylePr w:type="neCell">
      <w:rPr>
        <w:rFonts w:cs="New York"/>
        <w:b/>
        <w:bCs/>
      </w:rPr>
      <w:tblPr/>
      <w:tcPr>
        <w:tcBorders>
          <w:top w:val="nil"/>
          <w:left w:val="nil"/>
          <w:bottom w:val="nil"/>
          <w:right w:val="nil"/>
          <w:insideH w:val="nil"/>
          <w:insideV w:val="nil"/>
          <w:tl2br w:val="nil"/>
          <w:tr2bl w:val="nil"/>
        </w:tcBorders>
      </w:tcPr>
    </w:tblStylePr>
  </w:style>
  <w:style w:type="table" w:styleId="108">
    <w:name w:val="Table Columns 4"/>
    <w:basedOn w:val="77"/>
    <w:semiHidden/>
    <w:qFormat/>
    <w:uiPriority w:val="99"/>
    <w:pPr>
      <w:widowControl w:val="0"/>
      <w:spacing w:after="200" w:line="276" w:lineRule="auto"/>
    </w:pPr>
    <w:rPr>
      <w:rFonts w:ascii="Calibri" w:hAnsi="Calibri" w:cs="Calibri"/>
    </w:rPr>
    <w:tblPr>
      <w:tblStyleColBandSize w:val="1"/>
    </w:tblPr>
    <w:tblStylePr w:type="firstRow">
      <w:rPr>
        <w:rFonts w:cs="New York"/>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Vert">
      <w:rPr>
        <w:rFonts w:cs="New York"/>
        <w:color w:val="auto"/>
      </w:rPr>
      <w:tblPr/>
      <w:tcPr>
        <w:shd w:val="pct50" w:color="008080" w:fill="FFFFFF"/>
      </w:tcPr>
    </w:tblStylePr>
    <w:tblStylePr w:type="band2Vert">
      <w:rPr>
        <w:rFonts w:cs="New York"/>
        <w:color w:val="auto"/>
      </w:rPr>
      <w:tblPr/>
      <w:tcPr>
        <w:shd w:val="pct10" w:color="000000" w:fill="FFFFFF"/>
      </w:tcPr>
    </w:tblStylePr>
  </w:style>
  <w:style w:type="table" w:styleId="109">
    <w:name w:val="Table Columns 5"/>
    <w:basedOn w:val="77"/>
    <w:semiHidden/>
    <w:qFormat/>
    <w:uiPriority w:val="99"/>
    <w:pPr>
      <w:widowControl w:val="0"/>
      <w:spacing w:after="200" w:line="276" w:lineRule="auto"/>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New York"/>
        <w:b/>
        <w:bCs/>
        <w:i/>
        <w:iCs/>
      </w:rPr>
      <w:tblPr/>
      <w:tcPr>
        <w:tcBorders>
          <w:top w:val="nil"/>
          <w:left w:val="single" w:color="808080" w:sz="6" w:space="0"/>
          <w:bottom w:val="nil"/>
          <w:right w:val="nil"/>
          <w:insideH w:val="nil"/>
          <w:insideV w:val="nil"/>
          <w:tl2br w:val="nil"/>
          <w:tr2bl w:val="nil"/>
        </w:tcBorders>
      </w:tcPr>
    </w:tblStylePr>
    <w:tblStylePr w:type="lastRow">
      <w:rPr>
        <w:rFonts w:cs="New York"/>
        <w:b/>
        <w:bCs/>
      </w:rPr>
      <w:tblPr/>
      <w:tcPr>
        <w:tcBorders>
          <w:top w:val="single" w:color="80808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StylePr>
  </w:style>
  <w:style w:type="table" w:styleId="110">
    <w:name w:val="Table Grid 1"/>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New York"/>
        <w:i/>
        <w:iCs/>
      </w:rPr>
      <w:tblPr/>
      <w:tcPr>
        <w:tcBorders>
          <w:top w:val="nil"/>
          <w:left w:val="nil"/>
          <w:bottom w:val="nil"/>
          <w:right w:val="nil"/>
          <w:insideH w:val="nil"/>
          <w:insideV w:val="nil"/>
          <w:tl2br w:val="nil"/>
          <w:tr2bl w:val="nil"/>
        </w:tcBorders>
      </w:tcPr>
    </w:tblStylePr>
    <w:tblStylePr w:type="lastCol">
      <w:rPr>
        <w:rFonts w:cs="New York"/>
        <w:i/>
        <w:i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1">
    <w:name w:val="Table Grid 2"/>
    <w:basedOn w:val="77"/>
    <w:semiHidden/>
    <w:qFormat/>
    <w:uiPriority w:val="99"/>
    <w:pPr>
      <w:widowControl w:val="0"/>
      <w:spacing w:after="200" w:line="276" w:lineRule="auto"/>
    </w:pPr>
    <w:rPr>
      <w:rFonts w:ascii="Calibri" w:hAnsi="Calibri" w:cs="Calibri"/>
    </w:rPr>
    <w:tblPr>
      <w:tblBorders>
        <w:insideH w:val="single" w:color="000000" w:sz="6" w:space="0"/>
        <w:insideV w:val="single" w:color="000000" w:sz="6" w:space="0"/>
      </w:tblBorders>
    </w:tblPr>
    <w:tblStylePr w:type="firstRow">
      <w:rPr>
        <w:rFonts w:cs="New York"/>
        <w:b/>
        <w:bCs/>
      </w:rPr>
      <w:tblPr/>
      <w:tcPr>
        <w:tcBorders>
          <w:top w:val="nil"/>
          <w:left w:val="nil"/>
          <w:bottom w:val="nil"/>
          <w:right w:val="nil"/>
          <w:insideH w:val="nil"/>
          <w:insideV w:val="nil"/>
          <w:tl2br w:val="nil"/>
          <w:tr2bl w:val="nil"/>
        </w:tcBorders>
      </w:tcPr>
    </w:tblStylePr>
    <w:tblStylePr w:type="lastRow">
      <w:rPr>
        <w:rFonts w:cs="New York"/>
        <w:b/>
        <w:bCs/>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style>
  <w:style w:type="table" w:styleId="112">
    <w:name w:val="Table Grid 3"/>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New York"/>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3">
    <w:name w:val="Table Grid 4"/>
    <w:basedOn w:val="77"/>
    <w:semiHidden/>
    <w:qFormat/>
    <w:uiPriority w:val="99"/>
    <w:pPr>
      <w:widowControl w:val="0"/>
      <w:spacing w:after="200" w:line="276" w:lineRule="auto"/>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blStylePr w:type="firstRow">
      <w:rPr>
        <w:rFonts w:cs="New York"/>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New York"/>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New York"/>
        <w:b/>
        <w:bCs/>
        <w:color w:val="auto"/>
      </w:rPr>
      <w:tblPr/>
      <w:tcPr>
        <w:tcBorders>
          <w:top w:val="nil"/>
          <w:left w:val="nil"/>
          <w:bottom w:val="nil"/>
          <w:right w:val="nil"/>
          <w:insideH w:val="nil"/>
          <w:insideV w:val="nil"/>
          <w:tl2br w:val="nil"/>
          <w:tr2bl w:val="nil"/>
        </w:tcBorders>
      </w:tcPr>
    </w:tblStylePr>
  </w:style>
  <w:style w:type="table" w:styleId="114">
    <w:name w:val="Table Grid 5"/>
    <w:basedOn w:val="77"/>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New York"/>
      </w:rPr>
      <w:tblPr/>
      <w:tcPr>
        <w:tcBorders>
          <w:top w:val="nil"/>
          <w:left w:val="single" w:color="000000" w:sz="12" w:space="0"/>
          <w:bottom w:val="nil"/>
          <w:right w:val="nil"/>
          <w:insideH w:val="nil"/>
          <w:insideV w:val="nil"/>
          <w:tl2br w:val="nil"/>
          <w:tr2bl w:val="nil"/>
        </w:tcBorders>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5">
    <w:name w:val="Table Grid 6"/>
    <w:basedOn w:val="77"/>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New York"/>
        <w:b/>
        <w:bCs/>
      </w:rPr>
      <w:tblPr/>
      <w:tcPr>
        <w:tcBorders>
          <w:top w:val="nil"/>
          <w:left w:val="single" w:color="000000" w:sz="6" w:space="0"/>
          <w:bottom w:val="nil"/>
          <w:right w:val="nil"/>
          <w:insideH w:val="nil"/>
          <w:insideV w:val="nil"/>
          <w:tl2br w:val="nil"/>
          <w:tr2bl w:val="nil"/>
        </w:tcBorders>
      </w:tcPr>
    </w:tblStylePr>
    <w:tblStylePr w:type="lastRow">
      <w:rPr>
        <w:rFonts w:cs="New York"/>
        <w:color w:val="auto"/>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6">
    <w:name w:val="Table Grid 7"/>
    <w:basedOn w:val="77"/>
    <w:semiHidden/>
    <w:qFormat/>
    <w:uiPriority w:val="99"/>
    <w:pPr>
      <w:widowControl w:val="0"/>
      <w:spacing w:after="200" w:line="276" w:lineRule="auto"/>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New York"/>
        <w:b w:val="0"/>
        <w:bCs w:val="0"/>
      </w:rPr>
      <w:tblPr/>
      <w:tcPr>
        <w:tcBorders>
          <w:top w:val="nil"/>
          <w:left w:val="single" w:color="000000" w:sz="12" w:space="0"/>
          <w:bottom w:val="nil"/>
          <w:right w:val="nil"/>
          <w:insideH w:val="nil"/>
          <w:insideV w:val="nil"/>
          <w:tl2br w:val="nil"/>
          <w:tr2bl w:val="nil"/>
        </w:tcBorders>
      </w:tcPr>
    </w:tblStylePr>
    <w:tblStylePr w:type="lastRow">
      <w:rPr>
        <w:rFonts w:cs="New York"/>
        <w:b w:val="0"/>
        <w:bCs w:val="0"/>
      </w:rPr>
      <w:tblPr/>
      <w:tcPr>
        <w:tcBorders>
          <w:top w:val="single" w:color="000000" w:sz="6" w:space="0"/>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7">
    <w:name w:val="Table Grid 8"/>
    <w:basedOn w:val="77"/>
    <w:semiHidden/>
    <w:qFormat/>
    <w:uiPriority w:val="99"/>
    <w:pPr>
      <w:widowControl w:val="0"/>
      <w:spacing w:after="200" w:line="276" w:lineRule="auto"/>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New York"/>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bCs/>
        <w:color w:val="auto"/>
      </w:rPr>
      <w:tblPr/>
      <w:tcPr>
        <w:tcBorders>
          <w:top w:val="nil"/>
          <w:left w:val="nil"/>
          <w:bottom w:val="nil"/>
          <w:right w:val="nil"/>
          <w:insideH w:val="nil"/>
          <w:insideV w:val="nil"/>
          <w:tl2br w:val="nil"/>
          <w:tr2bl w:val="nil"/>
        </w:tcBorders>
      </w:tcPr>
    </w:tblStylePr>
    <w:tblStylePr w:type="lastCol">
      <w:rPr>
        <w:rFonts w:cs="New York"/>
        <w:b/>
        <w:bCs/>
        <w:color w:val="auto"/>
      </w:rPr>
      <w:tblPr/>
      <w:tcPr>
        <w:tcBorders>
          <w:top w:val="nil"/>
          <w:left w:val="nil"/>
          <w:bottom w:val="nil"/>
          <w:right w:val="nil"/>
          <w:insideH w:val="nil"/>
          <w:insideV w:val="nil"/>
          <w:tl2br w:val="nil"/>
          <w:tr2bl w:val="nil"/>
        </w:tcBorders>
      </w:tcPr>
    </w:tblStylePr>
  </w:style>
  <w:style w:type="table" w:styleId="118">
    <w:name w:val="Table Web 1"/>
    <w:basedOn w:val="77"/>
    <w:semiHidden/>
    <w:qFormat/>
    <w:uiPriority w:val="99"/>
    <w:pPr>
      <w:widowControl w:val="0"/>
      <w:spacing w:after="200" w:line="276" w:lineRule="auto"/>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119">
    <w:name w:val="Table Web 2"/>
    <w:basedOn w:val="77"/>
    <w:semiHidden/>
    <w:qFormat/>
    <w:uiPriority w:val="99"/>
    <w:pPr>
      <w:widowControl w:val="0"/>
      <w:spacing w:after="200" w:line="276" w:lineRule="auto"/>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120">
    <w:name w:val="Table Web 3"/>
    <w:basedOn w:val="77"/>
    <w:semiHidden/>
    <w:qFormat/>
    <w:uiPriority w:val="99"/>
    <w:pPr>
      <w:widowControl w:val="0"/>
      <w:spacing w:after="200" w:line="276" w:lineRule="auto"/>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121">
    <w:name w:val="Table Professional"/>
    <w:basedOn w:val="77"/>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New York"/>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3">
    <w:name w:val="Strong"/>
    <w:qFormat/>
    <w:uiPriority w:val="0"/>
    <w:rPr>
      <w:rFonts w:cs="Times New Roman"/>
      <w:b/>
      <w:bCs/>
    </w:rPr>
  </w:style>
  <w:style w:type="character" w:styleId="124">
    <w:name w:val="page number"/>
    <w:qFormat/>
    <w:uiPriority w:val="0"/>
    <w:rPr>
      <w:rFonts w:cs="Times New Roman"/>
    </w:rPr>
  </w:style>
  <w:style w:type="character" w:styleId="125">
    <w:name w:val="FollowedHyperlink"/>
    <w:qFormat/>
    <w:uiPriority w:val="0"/>
    <w:rPr>
      <w:rFonts w:cs="Times New Roman"/>
      <w:color w:val="1F4F88"/>
      <w:u w:val="none"/>
    </w:rPr>
  </w:style>
  <w:style w:type="character" w:styleId="126">
    <w:name w:val="Emphasis"/>
    <w:qFormat/>
    <w:uiPriority w:val="99"/>
    <w:rPr>
      <w:rFonts w:cs="Times New Roman"/>
      <w:color w:val="auto"/>
    </w:rPr>
  </w:style>
  <w:style w:type="character" w:styleId="127">
    <w:name w:val="line number"/>
    <w:qFormat/>
    <w:uiPriority w:val="99"/>
    <w:rPr>
      <w:rFonts w:cs="Times New Roman"/>
    </w:rPr>
  </w:style>
  <w:style w:type="character" w:styleId="128">
    <w:name w:val="HTML Definition"/>
    <w:semiHidden/>
    <w:qFormat/>
    <w:uiPriority w:val="99"/>
    <w:rPr>
      <w:rFonts w:cs="Times New Roman"/>
      <w:i/>
      <w:iCs/>
    </w:rPr>
  </w:style>
  <w:style w:type="character" w:styleId="129">
    <w:name w:val="HTML Typewriter"/>
    <w:semiHidden/>
    <w:qFormat/>
    <w:uiPriority w:val="99"/>
    <w:rPr>
      <w:rFonts w:ascii="Courier New" w:hAnsi="Courier New" w:cs="Courier New"/>
      <w:sz w:val="20"/>
      <w:szCs w:val="20"/>
    </w:rPr>
  </w:style>
  <w:style w:type="character" w:styleId="130">
    <w:name w:val="HTML Acronym"/>
    <w:semiHidden/>
    <w:qFormat/>
    <w:uiPriority w:val="99"/>
    <w:rPr>
      <w:rFonts w:cs="Times New Roman"/>
    </w:rPr>
  </w:style>
  <w:style w:type="character" w:styleId="131">
    <w:name w:val="HTML Variable"/>
    <w:semiHidden/>
    <w:qFormat/>
    <w:uiPriority w:val="99"/>
    <w:rPr>
      <w:rFonts w:cs="Times New Roman"/>
      <w:i/>
      <w:iCs/>
    </w:rPr>
  </w:style>
  <w:style w:type="character" w:styleId="132">
    <w:name w:val="Hyperlink"/>
    <w:qFormat/>
    <w:uiPriority w:val="99"/>
    <w:rPr>
      <w:rFonts w:cs="Times New Roman"/>
      <w:color w:val="1F4F88"/>
      <w:u w:val="none"/>
    </w:rPr>
  </w:style>
  <w:style w:type="character" w:styleId="133">
    <w:name w:val="HTML Code"/>
    <w:semiHidden/>
    <w:qFormat/>
    <w:uiPriority w:val="99"/>
    <w:rPr>
      <w:rFonts w:ascii="Courier New" w:hAnsi="Courier New" w:cs="Courier New"/>
      <w:sz w:val="20"/>
      <w:szCs w:val="20"/>
    </w:rPr>
  </w:style>
  <w:style w:type="character" w:styleId="134">
    <w:name w:val="annotation reference"/>
    <w:qFormat/>
    <w:uiPriority w:val="99"/>
    <w:rPr>
      <w:rFonts w:cs="Times New Roman"/>
      <w:sz w:val="21"/>
      <w:szCs w:val="21"/>
    </w:rPr>
  </w:style>
  <w:style w:type="character" w:styleId="135">
    <w:name w:val="HTML Cite"/>
    <w:semiHidden/>
    <w:qFormat/>
    <w:uiPriority w:val="99"/>
    <w:rPr>
      <w:rFonts w:cs="Times New Roman"/>
      <w:i/>
      <w:iCs/>
    </w:rPr>
  </w:style>
  <w:style w:type="character" w:styleId="136">
    <w:name w:val="footnote reference"/>
    <w:semiHidden/>
    <w:qFormat/>
    <w:uiPriority w:val="0"/>
    <w:rPr>
      <w:vertAlign w:val="superscript"/>
    </w:rPr>
  </w:style>
  <w:style w:type="character" w:styleId="137">
    <w:name w:val="HTML Keyboard"/>
    <w:semiHidden/>
    <w:qFormat/>
    <w:uiPriority w:val="99"/>
    <w:rPr>
      <w:rFonts w:ascii="Courier New" w:hAnsi="Courier New" w:cs="Courier New"/>
      <w:sz w:val="20"/>
      <w:szCs w:val="20"/>
    </w:rPr>
  </w:style>
  <w:style w:type="character" w:styleId="138">
    <w:name w:val="HTML Sample"/>
    <w:semiHidden/>
    <w:qFormat/>
    <w:uiPriority w:val="99"/>
    <w:rPr>
      <w:rFonts w:ascii="Courier New" w:hAnsi="Courier New" w:cs="Courier New"/>
    </w:rPr>
  </w:style>
  <w:style w:type="character" w:customStyle="1" w:styleId="139">
    <w:name w:val="页眉 字符"/>
    <w:basedOn w:val="122"/>
    <w:link w:val="52"/>
    <w:qFormat/>
    <w:uiPriority w:val="99"/>
    <w:rPr>
      <w:sz w:val="18"/>
      <w:szCs w:val="18"/>
    </w:rPr>
  </w:style>
  <w:style w:type="character" w:customStyle="1" w:styleId="140">
    <w:name w:val="页脚 字符"/>
    <w:basedOn w:val="122"/>
    <w:link w:val="50"/>
    <w:qFormat/>
    <w:uiPriority w:val="99"/>
    <w:rPr>
      <w:sz w:val="18"/>
      <w:szCs w:val="18"/>
    </w:rPr>
  </w:style>
  <w:style w:type="character" w:customStyle="1" w:styleId="141">
    <w:name w:val="标题 1 Char"/>
    <w:basedOn w:val="122"/>
    <w:qFormat/>
    <w:uiPriority w:val="0"/>
    <w:rPr>
      <w:rFonts w:ascii="Times New Roman" w:hAnsi="Times New Roman" w:eastAsia="宋体" w:cs="Times New Roman"/>
      <w:b/>
      <w:bCs/>
      <w:kern w:val="44"/>
      <w:sz w:val="44"/>
      <w:szCs w:val="44"/>
    </w:rPr>
  </w:style>
  <w:style w:type="character" w:customStyle="1" w:styleId="142">
    <w:name w:val="标题 2 字符"/>
    <w:basedOn w:val="122"/>
    <w:link w:val="4"/>
    <w:qFormat/>
    <w:uiPriority w:val="9"/>
    <w:rPr>
      <w:rFonts w:ascii="Arial" w:hAnsi="Arial" w:eastAsia="黑体" w:cs="Times New Roman"/>
      <w:b/>
      <w:bCs/>
      <w:kern w:val="0"/>
      <w:sz w:val="32"/>
      <w:szCs w:val="32"/>
    </w:rPr>
  </w:style>
  <w:style w:type="character" w:customStyle="1" w:styleId="143">
    <w:name w:val="标题 3 字符"/>
    <w:basedOn w:val="122"/>
    <w:link w:val="5"/>
    <w:qFormat/>
    <w:uiPriority w:val="9"/>
    <w:rPr>
      <w:rFonts w:ascii="Times New Roman" w:hAnsi="Times New Roman" w:eastAsia="宋体" w:cs="Times New Roman"/>
      <w:b/>
      <w:bCs/>
      <w:kern w:val="0"/>
      <w:sz w:val="28"/>
      <w:szCs w:val="32"/>
    </w:rPr>
  </w:style>
  <w:style w:type="character" w:customStyle="1" w:styleId="144">
    <w:name w:val="标题 4 字符"/>
    <w:basedOn w:val="122"/>
    <w:link w:val="6"/>
    <w:qFormat/>
    <w:uiPriority w:val="9"/>
    <w:rPr>
      <w:rFonts w:ascii="Arial" w:hAnsi="Arial" w:eastAsia="黑体" w:cs="Times New Roman"/>
      <w:b/>
      <w:bCs/>
      <w:kern w:val="0"/>
      <w:sz w:val="28"/>
      <w:szCs w:val="28"/>
    </w:rPr>
  </w:style>
  <w:style w:type="character" w:customStyle="1" w:styleId="145">
    <w:name w:val="标题 5 字符"/>
    <w:basedOn w:val="122"/>
    <w:link w:val="7"/>
    <w:qFormat/>
    <w:uiPriority w:val="99"/>
    <w:rPr>
      <w:rFonts w:ascii="Times New Roman" w:hAnsi="Times New Roman" w:eastAsia="宋体" w:cs="Times New Roman"/>
      <w:b/>
      <w:bCs/>
      <w:kern w:val="0"/>
      <w:sz w:val="28"/>
      <w:szCs w:val="28"/>
    </w:rPr>
  </w:style>
  <w:style w:type="character" w:customStyle="1" w:styleId="146">
    <w:name w:val="标题 6 字符"/>
    <w:basedOn w:val="122"/>
    <w:link w:val="8"/>
    <w:qFormat/>
    <w:uiPriority w:val="99"/>
    <w:rPr>
      <w:rFonts w:ascii="Arial" w:hAnsi="Arial" w:eastAsia="黑体" w:cs="Times New Roman"/>
      <w:b/>
      <w:bCs/>
      <w:kern w:val="0"/>
      <w:sz w:val="20"/>
      <w:szCs w:val="20"/>
    </w:rPr>
  </w:style>
  <w:style w:type="character" w:customStyle="1" w:styleId="147">
    <w:name w:val="标题 7 字符"/>
    <w:basedOn w:val="122"/>
    <w:link w:val="9"/>
    <w:qFormat/>
    <w:uiPriority w:val="99"/>
    <w:rPr>
      <w:rFonts w:ascii="Times New Roman" w:hAnsi="Times New Roman" w:eastAsia="宋体" w:cs="Times New Roman"/>
      <w:b/>
      <w:bCs/>
      <w:kern w:val="0"/>
      <w:sz w:val="24"/>
      <w:szCs w:val="24"/>
    </w:rPr>
  </w:style>
  <w:style w:type="character" w:customStyle="1" w:styleId="148">
    <w:name w:val="标题 8 字符"/>
    <w:basedOn w:val="122"/>
    <w:link w:val="10"/>
    <w:qFormat/>
    <w:uiPriority w:val="99"/>
    <w:rPr>
      <w:rFonts w:ascii="Cambria" w:hAnsi="Cambria" w:eastAsia="宋体" w:cs="Times New Roman"/>
      <w:kern w:val="0"/>
      <w:sz w:val="24"/>
      <w:szCs w:val="24"/>
    </w:rPr>
  </w:style>
  <w:style w:type="character" w:customStyle="1" w:styleId="149">
    <w:name w:val="标题 9 字符"/>
    <w:basedOn w:val="122"/>
    <w:link w:val="11"/>
    <w:qFormat/>
    <w:uiPriority w:val="99"/>
    <w:rPr>
      <w:rFonts w:ascii="Cambria" w:hAnsi="Cambria" w:eastAsia="宋体" w:cs="Times New Roman"/>
      <w:kern w:val="0"/>
      <w:szCs w:val="21"/>
    </w:rPr>
  </w:style>
  <w:style w:type="character" w:customStyle="1" w:styleId="150">
    <w:name w:val="HTML 预设格式 字符"/>
    <w:link w:val="2"/>
    <w:qFormat/>
    <w:locked/>
    <w:uiPriority w:val="99"/>
    <w:rPr>
      <w:rFonts w:ascii="Courier New" w:hAnsi="Courier New" w:cs="Courier New"/>
      <w:sz w:val="20"/>
      <w:szCs w:val="20"/>
    </w:rPr>
  </w:style>
  <w:style w:type="character" w:customStyle="1" w:styleId="151">
    <w:name w:val="param-name1"/>
    <w:qFormat/>
    <w:uiPriority w:val="99"/>
    <w:rPr>
      <w:rFonts w:cs="Times New Roman"/>
      <w:b/>
      <w:bCs/>
    </w:rPr>
  </w:style>
  <w:style w:type="character" w:customStyle="1" w:styleId="152">
    <w:name w:val="List Paragraph Char"/>
    <w:link w:val="153"/>
    <w:qFormat/>
    <w:locked/>
    <w:uiPriority w:val="0"/>
    <w:rPr>
      <w:color w:val="262626"/>
    </w:rPr>
  </w:style>
  <w:style w:type="paragraph" w:customStyle="1" w:styleId="153">
    <w:name w:val="列出段落2"/>
    <w:basedOn w:val="1"/>
    <w:link w:val="152"/>
    <w:qFormat/>
    <w:uiPriority w:val="0"/>
    <w:pPr>
      <w:ind w:firstLine="420" w:firstLineChars="200"/>
    </w:pPr>
    <w:rPr>
      <w:rFonts w:asciiTheme="minorHAnsi" w:hAnsiTheme="minorHAnsi" w:eastAsiaTheme="minorEastAsia" w:cstheme="minorBidi"/>
      <w:color w:val="262626"/>
      <w:szCs w:val="22"/>
    </w:rPr>
  </w:style>
  <w:style w:type="character" w:customStyle="1" w:styleId="154">
    <w:name w:val="列出段落 Char"/>
    <w:link w:val="155"/>
    <w:qFormat/>
    <w:locked/>
    <w:uiPriority w:val="34"/>
    <w:rPr>
      <w:rFonts w:eastAsia="宋体" w:cs="Times New Roman"/>
      <w:color w:val="262626"/>
    </w:rPr>
  </w:style>
  <w:style w:type="paragraph" w:customStyle="1" w:styleId="155">
    <w:name w:val="列出段落5"/>
    <w:basedOn w:val="1"/>
    <w:link w:val="154"/>
    <w:qFormat/>
    <w:uiPriority w:val="34"/>
    <w:pPr>
      <w:spacing w:line="360" w:lineRule="auto"/>
      <w:ind w:firstLine="480" w:firstLineChars="200"/>
    </w:pPr>
    <w:rPr>
      <w:rFonts w:asciiTheme="minorHAnsi" w:hAnsiTheme="minorHAnsi"/>
      <w:color w:val="262626"/>
      <w:szCs w:val="22"/>
    </w:rPr>
  </w:style>
  <w:style w:type="character" w:customStyle="1" w:styleId="156">
    <w:name w:val="正文首行缩进 2 字符"/>
    <w:link w:val="76"/>
    <w:qFormat/>
    <w:locked/>
    <w:uiPriority w:val="99"/>
    <w:rPr>
      <w:rFonts w:cs="Times New Roman"/>
      <w:szCs w:val="21"/>
    </w:rPr>
  </w:style>
  <w:style w:type="character" w:customStyle="1" w:styleId="157">
    <w:name w:val="批注文字 Char"/>
    <w:qFormat/>
    <w:locked/>
    <w:uiPriority w:val="99"/>
    <w:rPr>
      <w:rFonts w:cs="Times New Roman"/>
      <w:sz w:val="21"/>
      <w:szCs w:val="21"/>
    </w:rPr>
  </w:style>
  <w:style w:type="character" w:customStyle="1" w:styleId="158">
    <w:name w:val="纯文本 Char1"/>
    <w:semiHidden/>
    <w:qFormat/>
    <w:locked/>
    <w:uiPriority w:val="99"/>
    <w:rPr>
      <w:rFonts w:ascii="宋体" w:hAnsi="Courier New"/>
      <w:kern w:val="2"/>
      <w:sz w:val="21"/>
    </w:rPr>
  </w:style>
  <w:style w:type="character" w:customStyle="1" w:styleId="159">
    <w:name w:val="hover34"/>
    <w:qFormat/>
    <w:uiPriority w:val="0"/>
    <w:rPr>
      <w:color w:val="FFFFFF"/>
      <w:bdr w:val="single" w:color="5294E5" w:sz="4" w:space="0"/>
      <w:shd w:val="clear" w:color="auto" w:fill="5294E5"/>
    </w:rPr>
  </w:style>
  <w:style w:type="character" w:customStyle="1" w:styleId="160">
    <w:name w:val="z-crt4"/>
    <w:qFormat/>
    <w:uiPriority w:val="0"/>
    <w:rPr>
      <w:color w:val="FFFFFF"/>
      <w:bdr w:val="single" w:color="5294E5" w:sz="4" w:space="0"/>
      <w:shd w:val="clear" w:color="auto" w:fill="5294E5"/>
    </w:rPr>
  </w:style>
  <w:style w:type="character" w:customStyle="1" w:styleId="161">
    <w:name w:val="副标题 字符"/>
    <w:link w:val="57"/>
    <w:qFormat/>
    <w:locked/>
    <w:uiPriority w:val="99"/>
    <w:rPr>
      <w:rFonts w:ascii="Cambria" w:hAnsi="Cambria" w:cs="Cambria"/>
      <w:b/>
      <w:bCs/>
      <w:kern w:val="28"/>
      <w:sz w:val="32"/>
      <w:szCs w:val="32"/>
    </w:rPr>
  </w:style>
  <w:style w:type="character" w:customStyle="1" w:styleId="162">
    <w:name w:val="正文缩进 字符"/>
    <w:link w:val="20"/>
    <w:qFormat/>
    <w:locked/>
    <w:uiPriority w:val="99"/>
    <w:rPr>
      <w:rFonts w:eastAsia="宋体" w:cs="Times New Roman"/>
      <w:szCs w:val="21"/>
    </w:rPr>
  </w:style>
  <w:style w:type="character" w:customStyle="1" w:styleId="163">
    <w:name w:val="HR标题3 Char"/>
    <w:link w:val="164"/>
    <w:qFormat/>
    <w:uiPriority w:val="0"/>
    <w:rPr>
      <w:rFonts w:ascii="Calibri" w:hAnsi="Calibri"/>
      <w:sz w:val="24"/>
      <w:szCs w:val="24"/>
    </w:rPr>
  </w:style>
  <w:style w:type="paragraph" w:customStyle="1" w:styleId="164">
    <w:name w:val="HR标题3"/>
    <w:basedOn w:val="1"/>
    <w:next w:val="165"/>
    <w:link w:val="163"/>
    <w:qFormat/>
    <w:uiPriority w:val="0"/>
    <w:pPr>
      <w:numPr>
        <w:ilvl w:val="2"/>
        <w:numId w:val="3"/>
      </w:numPr>
      <w:tabs>
        <w:tab w:val="left" w:pos="624"/>
      </w:tabs>
      <w:spacing w:line="360" w:lineRule="auto"/>
      <w:outlineLvl w:val="2"/>
    </w:pPr>
    <w:rPr>
      <w:rFonts w:ascii="Calibri" w:hAnsi="Calibri" w:eastAsiaTheme="minorEastAsia" w:cstheme="minorBidi"/>
      <w:sz w:val="24"/>
      <w:szCs w:val="24"/>
    </w:rPr>
  </w:style>
  <w:style w:type="paragraph" w:customStyle="1" w:styleId="165">
    <w:name w:val="HR正文"/>
    <w:basedOn w:val="1"/>
    <w:link w:val="213"/>
    <w:qFormat/>
    <w:uiPriority w:val="0"/>
    <w:pPr>
      <w:spacing w:line="300" w:lineRule="auto"/>
      <w:ind w:firstLine="200" w:firstLineChars="200"/>
    </w:pPr>
    <w:rPr>
      <w:rFonts w:ascii="Calibri" w:hAnsi="Calibri" w:eastAsiaTheme="minorEastAsia" w:cstheme="minorBidi"/>
      <w:sz w:val="24"/>
      <w:szCs w:val="24"/>
    </w:rPr>
  </w:style>
  <w:style w:type="character" w:customStyle="1" w:styleId="166">
    <w:name w:val="Body Text First Indent Char"/>
    <w:qFormat/>
    <w:locked/>
    <w:uiPriority w:val="99"/>
    <w:rPr>
      <w:rFonts w:ascii="宋体" w:hAnsi="宋体" w:eastAsia="宋体"/>
      <w:spacing w:val="20"/>
      <w:sz w:val="24"/>
    </w:rPr>
  </w:style>
  <w:style w:type="character" w:customStyle="1" w:styleId="167">
    <w:name w:val="hover42"/>
    <w:qFormat/>
    <w:uiPriority w:val="99"/>
    <w:rPr>
      <w:rFonts w:cs="Times New Roman"/>
      <w:color w:val="FFFFFF"/>
      <w:shd w:val="clear" w:color="auto" w:fill="auto"/>
    </w:rPr>
  </w:style>
  <w:style w:type="character" w:customStyle="1" w:styleId="168">
    <w:name w:val="hover40"/>
    <w:qFormat/>
    <w:uiPriority w:val="99"/>
    <w:rPr>
      <w:rFonts w:cs="Times New Roman"/>
      <w:color w:val="auto"/>
      <w:u w:val="single"/>
    </w:rPr>
  </w:style>
  <w:style w:type="character" w:customStyle="1" w:styleId="169">
    <w:name w:val="hover38"/>
    <w:qFormat/>
    <w:uiPriority w:val="99"/>
    <w:rPr>
      <w:rFonts w:cs="Times New Roman"/>
      <w:color w:val="auto"/>
      <w:u w:val="single"/>
    </w:rPr>
  </w:style>
  <w:style w:type="character" w:customStyle="1" w:styleId="170">
    <w:name w:val="段 Char"/>
    <w:link w:val="171"/>
    <w:qFormat/>
    <w:locked/>
    <w:uiPriority w:val="99"/>
    <w:rPr>
      <w:rFonts w:ascii="宋体" w:cs="宋体"/>
      <w:szCs w:val="21"/>
    </w:rPr>
  </w:style>
  <w:style w:type="paragraph" w:customStyle="1" w:styleId="171">
    <w:name w:val="段"/>
    <w:link w:val="170"/>
    <w:qFormat/>
    <w:uiPriority w:val="99"/>
    <w:pPr>
      <w:autoSpaceDE w:val="0"/>
      <w:autoSpaceDN w:val="0"/>
      <w:ind w:firstLine="200" w:firstLineChars="200"/>
      <w:jc w:val="both"/>
    </w:pPr>
    <w:rPr>
      <w:rFonts w:ascii="宋体" w:cs="宋体" w:hAnsiTheme="minorHAnsi" w:eastAsiaTheme="minorEastAsia"/>
      <w:kern w:val="2"/>
      <w:sz w:val="21"/>
      <w:szCs w:val="21"/>
      <w:lang w:val="en-US" w:eastAsia="zh-CN" w:bidi="ar-SA"/>
    </w:rPr>
  </w:style>
  <w:style w:type="character" w:customStyle="1" w:styleId="172">
    <w:name w:val="结束语 字符"/>
    <w:link w:val="29"/>
    <w:semiHidden/>
    <w:qFormat/>
    <w:locked/>
    <w:uiPriority w:val="99"/>
    <w:rPr>
      <w:rFonts w:cs="Times New Roman"/>
      <w:szCs w:val="21"/>
    </w:rPr>
  </w:style>
  <w:style w:type="character" w:customStyle="1" w:styleId="173">
    <w:name w:val="正文文本缩进 3 字符"/>
    <w:link w:val="63"/>
    <w:qFormat/>
    <w:locked/>
    <w:uiPriority w:val="0"/>
    <w:rPr>
      <w:rFonts w:cs="Times New Roman"/>
      <w:sz w:val="16"/>
      <w:szCs w:val="16"/>
    </w:rPr>
  </w:style>
  <w:style w:type="character" w:customStyle="1" w:styleId="174">
    <w:name w:val="文档结构图 字符"/>
    <w:link w:val="24"/>
    <w:qFormat/>
    <w:locked/>
    <w:uiPriority w:val="0"/>
    <w:rPr>
      <w:rFonts w:cs="Times New Roman"/>
      <w:sz w:val="2"/>
      <w:szCs w:val="2"/>
      <w:shd w:val="clear" w:color="auto" w:fill="000080"/>
    </w:rPr>
  </w:style>
  <w:style w:type="character" w:customStyle="1" w:styleId="175">
    <w:name w:val="Footer Char"/>
    <w:semiHidden/>
    <w:qFormat/>
    <w:locked/>
    <w:uiPriority w:val="99"/>
    <w:rPr>
      <w:rFonts w:eastAsia="宋体"/>
      <w:sz w:val="18"/>
    </w:rPr>
  </w:style>
  <w:style w:type="character" w:customStyle="1" w:styleId="176">
    <w:name w:val="font11"/>
    <w:qFormat/>
    <w:uiPriority w:val="0"/>
    <w:rPr>
      <w:rFonts w:ascii="Arial" w:hAnsi="Arial" w:cs="Arial"/>
      <w:color w:val="000000"/>
      <w:sz w:val="20"/>
      <w:szCs w:val="20"/>
      <w:u w:val="none"/>
    </w:rPr>
  </w:style>
  <w:style w:type="character" w:customStyle="1" w:styleId="177">
    <w:name w:val="批注主题 字符"/>
    <w:link w:val="74"/>
    <w:semiHidden/>
    <w:qFormat/>
    <w:locked/>
    <w:uiPriority w:val="99"/>
    <w:rPr>
      <w:rFonts w:ascii="Calibri" w:hAnsi="Calibri" w:eastAsia="宋体" w:cs="Calibri"/>
      <w:b/>
      <w:bCs/>
      <w:szCs w:val="21"/>
      <w:lang w:eastAsia="en-US"/>
    </w:rPr>
  </w:style>
  <w:style w:type="character" w:customStyle="1" w:styleId="178">
    <w:name w:val="页眉 Char1"/>
    <w:semiHidden/>
    <w:qFormat/>
    <w:locked/>
    <w:uiPriority w:val="0"/>
    <w:rPr>
      <w:rFonts w:ascii="Calibri" w:hAnsi="Calibri"/>
      <w:sz w:val="18"/>
      <w:szCs w:val="18"/>
    </w:rPr>
  </w:style>
  <w:style w:type="character" w:customStyle="1" w:styleId="179">
    <w:name w:val="正文文本 3 字符"/>
    <w:link w:val="28"/>
    <w:qFormat/>
    <w:locked/>
    <w:uiPriority w:val="99"/>
    <w:rPr>
      <w:rFonts w:cs="Times New Roman"/>
      <w:sz w:val="16"/>
      <w:szCs w:val="16"/>
    </w:rPr>
  </w:style>
  <w:style w:type="character" w:customStyle="1" w:styleId="180">
    <w:name w:val="font31"/>
    <w:qFormat/>
    <w:uiPriority w:val="0"/>
    <w:rPr>
      <w:rFonts w:hint="eastAsia" w:ascii="宋体" w:hAnsi="宋体" w:eastAsia="宋体" w:cs="宋体"/>
      <w:color w:val="000000"/>
      <w:sz w:val="20"/>
      <w:szCs w:val="20"/>
      <w:u w:val="none"/>
    </w:rPr>
  </w:style>
  <w:style w:type="character" w:customStyle="1" w:styleId="181">
    <w:name w:val="正文文本缩进 字符"/>
    <w:link w:val="32"/>
    <w:qFormat/>
    <w:locked/>
    <w:uiPriority w:val="0"/>
    <w:rPr>
      <w:rFonts w:cs="Times New Roman"/>
      <w:szCs w:val="21"/>
    </w:rPr>
  </w:style>
  <w:style w:type="character" w:customStyle="1" w:styleId="182">
    <w:name w:val="NormalCharacter"/>
    <w:qFormat/>
    <w:uiPriority w:val="99"/>
  </w:style>
  <w:style w:type="character" w:customStyle="1" w:styleId="183">
    <w:name w:val="注释标题 字符"/>
    <w:link w:val="16"/>
    <w:semiHidden/>
    <w:qFormat/>
    <w:locked/>
    <w:uiPriority w:val="99"/>
    <w:rPr>
      <w:rFonts w:cs="Times New Roman"/>
      <w:szCs w:val="21"/>
    </w:rPr>
  </w:style>
  <w:style w:type="character" w:customStyle="1" w:styleId="184">
    <w:name w:val="日期 字符"/>
    <w:link w:val="46"/>
    <w:qFormat/>
    <w:locked/>
    <w:uiPriority w:val="0"/>
    <w:rPr>
      <w:rFonts w:cs="Times New Roman"/>
      <w:szCs w:val="21"/>
    </w:rPr>
  </w:style>
  <w:style w:type="character" w:customStyle="1" w:styleId="185">
    <w:name w:val="hei14"/>
    <w:semiHidden/>
    <w:qFormat/>
    <w:uiPriority w:val="99"/>
    <w:rPr>
      <w:rFonts w:cs="Times New Roman"/>
    </w:rPr>
  </w:style>
  <w:style w:type="character" w:customStyle="1" w:styleId="186">
    <w:name w:val="HTML 地址 字符"/>
    <w:link w:val="39"/>
    <w:semiHidden/>
    <w:qFormat/>
    <w:locked/>
    <w:uiPriority w:val="99"/>
    <w:rPr>
      <w:rFonts w:cs="Times New Roman"/>
      <w:i/>
      <w:iCs/>
      <w:szCs w:val="21"/>
    </w:rPr>
  </w:style>
  <w:style w:type="character" w:customStyle="1" w:styleId="187">
    <w:name w:val="纯文本 字符1"/>
    <w:link w:val="42"/>
    <w:qFormat/>
    <w:locked/>
    <w:uiPriority w:val="0"/>
    <w:rPr>
      <w:rFonts w:ascii="宋体" w:hAnsi="Courier New" w:cs="宋体"/>
      <w:szCs w:val="21"/>
    </w:rPr>
  </w:style>
  <w:style w:type="character" w:customStyle="1" w:styleId="188">
    <w:name w:val="bds_more"/>
    <w:qFormat/>
    <w:uiPriority w:val="99"/>
    <w:rPr>
      <w:rFonts w:ascii="Arial" w:hAnsi="Arial" w:cs="Arial"/>
    </w:rPr>
  </w:style>
  <w:style w:type="character" w:customStyle="1" w:styleId="189">
    <w:name w:val="apple-converted-space"/>
    <w:qFormat/>
    <w:uiPriority w:val="99"/>
  </w:style>
  <w:style w:type="character" w:customStyle="1" w:styleId="190">
    <w:name w:val="hover44"/>
    <w:qFormat/>
    <w:uiPriority w:val="99"/>
    <w:rPr>
      <w:rFonts w:ascii="微软雅黑" w:hAnsi="微软雅黑" w:eastAsia="微软雅黑" w:cs="微软雅黑"/>
      <w:b/>
      <w:bCs/>
      <w:color w:val="auto"/>
      <w:sz w:val="22"/>
      <w:szCs w:val="22"/>
      <w:u w:val="single"/>
    </w:rPr>
  </w:style>
  <w:style w:type="character" w:customStyle="1" w:styleId="191">
    <w:name w:val="签名 字符"/>
    <w:link w:val="53"/>
    <w:qFormat/>
    <w:locked/>
    <w:uiPriority w:val="99"/>
    <w:rPr>
      <w:rFonts w:cs="Times New Roman"/>
      <w:szCs w:val="21"/>
    </w:rPr>
  </w:style>
  <w:style w:type="character" w:customStyle="1" w:styleId="192">
    <w:name w:val="Body Text Char"/>
    <w:qFormat/>
    <w:locked/>
    <w:uiPriority w:val="99"/>
    <w:rPr>
      <w:rFonts w:eastAsia="宋体"/>
      <w:sz w:val="21"/>
    </w:rPr>
  </w:style>
  <w:style w:type="character" w:customStyle="1" w:styleId="193">
    <w:name w:val="正文文本缩进 2 字符"/>
    <w:link w:val="47"/>
    <w:qFormat/>
    <w:locked/>
    <w:uiPriority w:val="0"/>
    <w:rPr>
      <w:rFonts w:cs="Times New Roman"/>
      <w:szCs w:val="21"/>
    </w:rPr>
  </w:style>
  <w:style w:type="character" w:customStyle="1" w:styleId="194">
    <w:name w:val="HTML Markup"/>
    <w:qFormat/>
    <w:uiPriority w:val="0"/>
    <w:rPr>
      <w:vanish/>
      <w:color w:val="FF0000"/>
    </w:rPr>
  </w:style>
  <w:style w:type="character" w:customStyle="1" w:styleId="195">
    <w:name w:val="r-search"/>
    <w:basedOn w:val="122"/>
    <w:qFormat/>
    <w:uiPriority w:val="0"/>
  </w:style>
  <w:style w:type="character" w:customStyle="1" w:styleId="196">
    <w:name w:val="正文文本 字符"/>
    <w:link w:val="31"/>
    <w:qFormat/>
    <w:locked/>
    <w:uiPriority w:val="99"/>
    <w:rPr>
      <w:rFonts w:cs="Times New Roman"/>
      <w:szCs w:val="21"/>
    </w:rPr>
  </w:style>
  <w:style w:type="character" w:customStyle="1" w:styleId="197">
    <w:name w:val="hover39"/>
    <w:qFormat/>
    <w:uiPriority w:val="99"/>
    <w:rPr>
      <w:rFonts w:cs="Times New Roman"/>
      <w:color w:val="FFFFFF"/>
      <w:shd w:val="clear" w:color="auto" w:fill="auto"/>
    </w:rPr>
  </w:style>
  <w:style w:type="character" w:customStyle="1" w:styleId="198">
    <w:name w:val="Default Char"/>
    <w:link w:val="199"/>
    <w:qFormat/>
    <w:uiPriority w:val="0"/>
    <w:rPr>
      <w:rFonts w:ascii="宋体"/>
      <w:color w:val="000000"/>
      <w:sz w:val="24"/>
      <w:szCs w:val="24"/>
    </w:rPr>
  </w:style>
  <w:style w:type="paragraph" w:customStyle="1" w:styleId="199">
    <w:name w:val="Default"/>
    <w:link w:val="198"/>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character" w:customStyle="1" w:styleId="200">
    <w:name w:val="hover43"/>
    <w:qFormat/>
    <w:uiPriority w:val="99"/>
    <w:rPr>
      <w:rFonts w:cs="Times New Roman"/>
      <w:color w:val="auto"/>
      <w:u w:val="single"/>
    </w:rPr>
  </w:style>
  <w:style w:type="character" w:customStyle="1" w:styleId="201">
    <w:name w:val="列出段落 字符"/>
    <w:qFormat/>
    <w:locked/>
    <w:uiPriority w:val="34"/>
    <w:rPr>
      <w:kern w:val="2"/>
      <w:sz w:val="21"/>
      <w:szCs w:val="24"/>
    </w:rPr>
  </w:style>
  <w:style w:type="character" w:customStyle="1" w:styleId="202">
    <w:name w:val="r-search1"/>
    <w:basedOn w:val="122"/>
    <w:qFormat/>
    <w:uiPriority w:val="0"/>
  </w:style>
  <w:style w:type="character" w:customStyle="1" w:styleId="203">
    <w:name w:val="正文（缩进） Char"/>
    <w:link w:val="204"/>
    <w:semiHidden/>
    <w:qFormat/>
    <w:locked/>
    <w:uiPriority w:val="99"/>
    <w:rPr>
      <w:rFonts w:eastAsia="宋体"/>
      <w:sz w:val="24"/>
    </w:rPr>
  </w:style>
  <w:style w:type="paragraph" w:customStyle="1" w:styleId="204">
    <w:name w:val="正文（缩进）"/>
    <w:basedOn w:val="1"/>
    <w:link w:val="203"/>
    <w:semiHidden/>
    <w:qFormat/>
    <w:uiPriority w:val="99"/>
    <w:pPr>
      <w:spacing w:beforeLines="50" w:afterLines="50" w:line="360" w:lineRule="auto"/>
      <w:ind w:firstLine="480" w:firstLineChars="200"/>
    </w:pPr>
    <w:rPr>
      <w:rFonts w:asciiTheme="minorHAnsi" w:hAnsiTheme="minorHAnsi" w:cstheme="minorBidi"/>
      <w:sz w:val="24"/>
      <w:szCs w:val="22"/>
    </w:rPr>
  </w:style>
  <w:style w:type="character" w:customStyle="1" w:styleId="205">
    <w:name w:val="纯文本 字符"/>
    <w:qFormat/>
    <w:uiPriority w:val="0"/>
    <w:rPr>
      <w:rFonts w:ascii="宋体" w:hAnsi="Courier New"/>
      <w:kern w:val="2"/>
      <w:sz w:val="21"/>
      <w:szCs w:val="21"/>
    </w:rPr>
  </w:style>
  <w:style w:type="character" w:customStyle="1" w:styleId="206">
    <w:name w:val="称呼 字符"/>
    <w:link w:val="27"/>
    <w:qFormat/>
    <w:locked/>
    <w:uiPriority w:val="99"/>
    <w:rPr>
      <w:rFonts w:cs="Times New Roman"/>
      <w:szCs w:val="21"/>
    </w:rPr>
  </w:style>
  <w:style w:type="character" w:customStyle="1" w:styleId="207">
    <w:name w:val="Document Map Char"/>
    <w:semiHidden/>
    <w:qFormat/>
    <w:locked/>
    <w:uiPriority w:val="99"/>
    <w:rPr>
      <w:rFonts w:eastAsia="宋体"/>
      <w:sz w:val="21"/>
    </w:rPr>
  </w:style>
  <w:style w:type="character" w:customStyle="1" w:styleId="208">
    <w:name w:val="Header Char"/>
    <w:semiHidden/>
    <w:qFormat/>
    <w:locked/>
    <w:uiPriority w:val="99"/>
    <w:rPr>
      <w:rFonts w:eastAsia="宋体"/>
      <w:sz w:val="18"/>
    </w:rPr>
  </w:style>
  <w:style w:type="character" w:customStyle="1" w:styleId="209">
    <w:name w:val="Comment Text Char"/>
    <w:qFormat/>
    <w:locked/>
    <w:uiPriority w:val="99"/>
    <w:rPr>
      <w:rFonts w:ascii="Calibri" w:hAnsi="Calibri" w:eastAsia="宋体"/>
      <w:sz w:val="22"/>
      <w:lang w:val="en-US" w:eastAsia="en-US"/>
    </w:rPr>
  </w:style>
  <w:style w:type="character" w:customStyle="1" w:styleId="210">
    <w:name w:val="批注框文本 字符"/>
    <w:link w:val="49"/>
    <w:qFormat/>
    <w:uiPriority w:val="99"/>
    <w:rPr>
      <w:sz w:val="18"/>
      <w:szCs w:val="18"/>
    </w:rPr>
  </w:style>
  <w:style w:type="character" w:customStyle="1" w:styleId="211">
    <w:name w:val="标题 字符"/>
    <w:link w:val="73"/>
    <w:qFormat/>
    <w:locked/>
    <w:uiPriority w:val="0"/>
    <w:rPr>
      <w:rFonts w:ascii="Cambria" w:hAnsi="Cambria" w:cs="Cambria"/>
      <w:b/>
      <w:bCs/>
      <w:sz w:val="32"/>
      <w:szCs w:val="32"/>
    </w:rPr>
  </w:style>
  <w:style w:type="character" w:customStyle="1" w:styleId="212">
    <w:name w:val="HR正文 Char1"/>
    <w:qFormat/>
    <w:uiPriority w:val="0"/>
    <w:rPr>
      <w:kern w:val="2"/>
      <w:sz w:val="24"/>
      <w:szCs w:val="24"/>
    </w:rPr>
  </w:style>
  <w:style w:type="character" w:customStyle="1" w:styleId="213">
    <w:name w:val="HR正文 Char"/>
    <w:link w:val="165"/>
    <w:qFormat/>
    <w:uiPriority w:val="0"/>
    <w:rPr>
      <w:rFonts w:ascii="Calibri" w:hAnsi="Calibri"/>
      <w:sz w:val="24"/>
      <w:szCs w:val="24"/>
    </w:rPr>
  </w:style>
  <w:style w:type="character" w:customStyle="1" w:styleId="214">
    <w:name w:val="标题 1 字符"/>
    <w:link w:val="3"/>
    <w:qFormat/>
    <w:locked/>
    <w:uiPriority w:val="0"/>
    <w:rPr>
      <w:rFonts w:ascii="Times New Roman" w:hAnsi="Times New Roman" w:eastAsia="宋体" w:cs="Times New Roman"/>
      <w:b/>
      <w:iCs/>
      <w:sz w:val="36"/>
      <w:szCs w:val="20"/>
    </w:rPr>
  </w:style>
  <w:style w:type="character" w:customStyle="1" w:styleId="215">
    <w:name w:val="z-crt3"/>
    <w:qFormat/>
    <w:uiPriority w:val="0"/>
    <w:rPr>
      <w:color w:val="FFFFFF"/>
      <w:bdr w:val="single" w:color="5295E6" w:sz="4" w:space="0"/>
      <w:shd w:val="clear" w:color="auto" w:fill="5295E6"/>
    </w:rPr>
  </w:style>
  <w:style w:type="character" w:customStyle="1" w:styleId="216">
    <w:name w:val="电子邮件签名 字符"/>
    <w:link w:val="18"/>
    <w:semiHidden/>
    <w:qFormat/>
    <w:locked/>
    <w:uiPriority w:val="99"/>
    <w:rPr>
      <w:rFonts w:cs="Times New Roman"/>
      <w:szCs w:val="21"/>
    </w:rPr>
  </w:style>
  <w:style w:type="character" w:customStyle="1" w:styleId="217">
    <w:name w:val="信息标题 字符"/>
    <w:link w:val="69"/>
    <w:semiHidden/>
    <w:qFormat/>
    <w:locked/>
    <w:uiPriority w:val="99"/>
    <w:rPr>
      <w:rFonts w:ascii="Cambria" w:hAnsi="Cambria" w:eastAsia="宋体" w:cs="Cambria"/>
      <w:sz w:val="24"/>
      <w:szCs w:val="24"/>
      <w:shd w:val="pct20" w:color="auto" w:fill="auto"/>
    </w:rPr>
  </w:style>
  <w:style w:type="character" w:customStyle="1" w:styleId="218">
    <w:name w:val="Char Char3"/>
    <w:qFormat/>
    <w:uiPriority w:val="99"/>
    <w:rPr>
      <w:rFonts w:ascii="Calibri" w:hAnsi="Calibri" w:eastAsia="宋体" w:cs="Calibri"/>
      <w:sz w:val="22"/>
      <w:szCs w:val="22"/>
      <w:lang w:eastAsia="en-US"/>
    </w:rPr>
  </w:style>
  <w:style w:type="character" w:customStyle="1" w:styleId="219">
    <w:name w:val="ewm"/>
    <w:basedOn w:val="122"/>
    <w:qFormat/>
    <w:uiPriority w:val="0"/>
  </w:style>
  <w:style w:type="character" w:customStyle="1" w:styleId="220">
    <w:name w:val="正文首行缩进 字符"/>
    <w:link w:val="75"/>
    <w:qFormat/>
    <w:locked/>
    <w:uiPriority w:val="99"/>
    <w:rPr>
      <w:rFonts w:eastAsia="宋体" w:cs="Times New Roman"/>
      <w:szCs w:val="21"/>
    </w:rPr>
  </w:style>
  <w:style w:type="character" w:customStyle="1" w:styleId="221">
    <w:name w:val="style61"/>
    <w:qFormat/>
    <w:uiPriority w:val="0"/>
    <w:rPr>
      <w:color w:val="CCCCCC"/>
    </w:rPr>
  </w:style>
  <w:style w:type="character" w:customStyle="1" w:styleId="222">
    <w:name w:val="正文文本 2 字符"/>
    <w:link w:val="66"/>
    <w:qFormat/>
    <w:locked/>
    <w:uiPriority w:val="99"/>
    <w:rPr>
      <w:rFonts w:cs="Times New Roman"/>
      <w:szCs w:val="21"/>
    </w:rPr>
  </w:style>
  <w:style w:type="character" w:customStyle="1" w:styleId="223">
    <w:name w:val="first-child"/>
    <w:basedOn w:val="122"/>
    <w:qFormat/>
    <w:uiPriority w:val="0"/>
  </w:style>
  <w:style w:type="character" w:customStyle="1" w:styleId="224">
    <w:name w:val="正文文本缩进 2 Char1"/>
    <w:semiHidden/>
    <w:qFormat/>
    <w:locked/>
    <w:uiPriority w:val="99"/>
    <w:rPr>
      <w:sz w:val="21"/>
      <w:szCs w:val="21"/>
    </w:rPr>
  </w:style>
  <w:style w:type="paragraph" w:customStyle="1" w:styleId="225">
    <w:name w:val="1列"/>
    <w:basedOn w:val="1"/>
    <w:qFormat/>
    <w:uiPriority w:val="0"/>
    <w:pPr>
      <w:numPr>
        <w:ilvl w:val="0"/>
        <w:numId w:val="4"/>
      </w:numPr>
      <w:spacing w:line="360" w:lineRule="auto"/>
    </w:pPr>
    <w:rPr>
      <w:szCs w:val="24"/>
    </w:rPr>
  </w:style>
  <w:style w:type="character" w:customStyle="1" w:styleId="226">
    <w:name w:val="批注框文本 Char1"/>
    <w:basedOn w:val="122"/>
    <w:semiHidden/>
    <w:qFormat/>
    <w:uiPriority w:val="99"/>
    <w:rPr>
      <w:rFonts w:ascii="Times New Roman" w:hAnsi="Times New Roman" w:eastAsia="宋体" w:cs="Times New Roman"/>
      <w:sz w:val="18"/>
      <w:szCs w:val="18"/>
    </w:rPr>
  </w:style>
  <w:style w:type="paragraph" w:customStyle="1" w:styleId="227">
    <w:name w:val="PP 行"/>
    <w:basedOn w:val="53"/>
    <w:qFormat/>
    <w:uiPriority w:val="99"/>
  </w:style>
  <w:style w:type="paragraph" w:customStyle="1" w:styleId="228">
    <w:name w:val="五级无标题条"/>
    <w:basedOn w:val="1"/>
    <w:qFormat/>
    <w:uiPriority w:val="99"/>
    <w:pPr>
      <w:tabs>
        <w:tab w:val="left" w:pos="840"/>
      </w:tabs>
      <w:ind w:left="840" w:hanging="630"/>
    </w:pPr>
  </w:style>
  <w:style w:type="character" w:customStyle="1" w:styleId="229">
    <w:name w:val="正文文本 Char1"/>
    <w:basedOn w:val="122"/>
    <w:semiHidden/>
    <w:qFormat/>
    <w:uiPriority w:val="99"/>
    <w:rPr>
      <w:rFonts w:ascii="Times New Roman" w:hAnsi="Times New Roman" w:eastAsia="宋体" w:cs="Times New Roman"/>
      <w:szCs w:val="21"/>
    </w:rPr>
  </w:style>
  <w:style w:type="paragraph" w:customStyle="1" w:styleId="230">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character" w:customStyle="1" w:styleId="231">
    <w:name w:val="正文首行缩进 Char1"/>
    <w:basedOn w:val="229"/>
    <w:semiHidden/>
    <w:qFormat/>
    <w:uiPriority w:val="99"/>
    <w:rPr>
      <w:rFonts w:ascii="Times New Roman" w:hAnsi="Times New Roman" w:eastAsia="宋体" w:cs="Times New Roman"/>
      <w:szCs w:val="21"/>
    </w:rPr>
  </w:style>
  <w:style w:type="character" w:customStyle="1" w:styleId="232">
    <w:name w:val="称呼 Char1"/>
    <w:basedOn w:val="122"/>
    <w:semiHidden/>
    <w:qFormat/>
    <w:uiPriority w:val="99"/>
    <w:rPr>
      <w:rFonts w:ascii="Times New Roman" w:hAnsi="Times New Roman" w:eastAsia="宋体" w:cs="Times New Roman"/>
      <w:szCs w:val="21"/>
    </w:rPr>
  </w:style>
  <w:style w:type="paragraph" w:customStyle="1" w:styleId="233">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34">
    <w:name w:val="正文文本 (2)1"/>
    <w:basedOn w:val="1"/>
    <w:qFormat/>
    <w:uiPriority w:val="0"/>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235">
    <w:name w:val="xl43"/>
    <w:basedOn w:val="236"/>
    <w:qFormat/>
    <w:uiPriority w:val="99"/>
    <w:pPr>
      <w:pBdr>
        <w:bottom w:val="single" w:color="auto" w:sz="4" w:space="0"/>
        <w:right w:val="single" w:color="auto" w:sz="4" w:space="0"/>
      </w:pBdr>
      <w:jc w:val="center"/>
    </w:pPr>
    <w:rPr>
      <w:sz w:val="21"/>
      <w:szCs w:val="21"/>
    </w:rPr>
  </w:style>
  <w:style w:type="paragraph" w:customStyle="1" w:styleId="236">
    <w:name w:val="style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7">
    <w:name w:val="样式4"/>
    <w:basedOn w:val="238"/>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cs="Calibri"/>
    </w:rPr>
  </w:style>
  <w:style w:type="paragraph" w:customStyle="1" w:styleId="238">
    <w:name w:val="样式2"/>
    <w:basedOn w:val="7"/>
    <w:qFormat/>
    <w:uiPriority w:val="99"/>
    <w:pPr>
      <w:autoSpaceDE w:val="0"/>
      <w:autoSpaceDN w:val="0"/>
      <w:adjustRightInd w:val="0"/>
      <w:spacing w:before="240" w:after="240" w:line="500" w:lineRule="exact"/>
      <w:ind w:firstLine="204" w:firstLineChars="204"/>
      <w:jc w:val="left"/>
    </w:pPr>
    <w:rPr>
      <w:rFonts w:ascii="宋体" w:hAnsi="宋体" w:cs="宋体"/>
      <w:sz w:val="24"/>
      <w:szCs w:val="24"/>
    </w:rPr>
  </w:style>
  <w:style w:type="paragraph" w:customStyle="1" w:styleId="239">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宋体"/>
      <w:sz w:val="18"/>
      <w:szCs w:val="18"/>
      <w:lang w:val="en-US" w:eastAsia="zh-CN" w:bidi="ar-SA"/>
    </w:rPr>
  </w:style>
  <w:style w:type="character" w:customStyle="1" w:styleId="240">
    <w:name w:val="HTML 预设格式 Char1"/>
    <w:basedOn w:val="122"/>
    <w:semiHidden/>
    <w:qFormat/>
    <w:uiPriority w:val="99"/>
    <w:rPr>
      <w:rFonts w:ascii="Courier New" w:hAnsi="Courier New" w:eastAsia="宋体" w:cs="Courier New"/>
      <w:sz w:val="20"/>
      <w:szCs w:val="20"/>
    </w:rPr>
  </w:style>
  <w:style w:type="paragraph" w:customStyle="1" w:styleId="241">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42">
    <w:name w:val="p0"/>
    <w:basedOn w:val="1"/>
    <w:semiHidden/>
    <w:qFormat/>
    <w:uiPriority w:val="99"/>
    <w:pPr>
      <w:widowControl/>
      <w:spacing w:after="200" w:line="273" w:lineRule="auto"/>
      <w:jc w:val="left"/>
    </w:pPr>
    <w:rPr>
      <w:rFonts w:ascii="Calibri" w:hAnsi="Calibri" w:cs="Calibri"/>
      <w:kern w:val="0"/>
      <w:sz w:val="22"/>
      <w:szCs w:val="22"/>
    </w:rPr>
  </w:style>
  <w:style w:type="character" w:customStyle="1" w:styleId="243">
    <w:name w:val="注释标题 Char1"/>
    <w:basedOn w:val="122"/>
    <w:semiHidden/>
    <w:qFormat/>
    <w:uiPriority w:val="99"/>
    <w:rPr>
      <w:rFonts w:ascii="Times New Roman" w:hAnsi="Times New Roman" w:eastAsia="宋体" w:cs="Times New Roman"/>
      <w:szCs w:val="21"/>
    </w:rPr>
  </w:style>
  <w:style w:type="paragraph" w:customStyle="1" w:styleId="244">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cs="仿宋_GB2312"/>
      <w:sz w:val="24"/>
      <w:szCs w:val="24"/>
    </w:rPr>
  </w:style>
  <w:style w:type="character" w:customStyle="1" w:styleId="245">
    <w:name w:val="正文文本缩进 Char1"/>
    <w:basedOn w:val="122"/>
    <w:semiHidden/>
    <w:qFormat/>
    <w:uiPriority w:val="99"/>
    <w:rPr>
      <w:rFonts w:ascii="Times New Roman" w:hAnsi="Times New Roman" w:eastAsia="宋体" w:cs="Times New Roman"/>
      <w:szCs w:val="21"/>
    </w:rPr>
  </w:style>
  <w:style w:type="character" w:customStyle="1" w:styleId="246">
    <w:name w:val="正文文本 3 Char1"/>
    <w:basedOn w:val="122"/>
    <w:semiHidden/>
    <w:qFormat/>
    <w:uiPriority w:val="99"/>
    <w:rPr>
      <w:rFonts w:ascii="Times New Roman" w:hAnsi="Times New Roman" w:eastAsia="宋体" w:cs="Times New Roman"/>
      <w:sz w:val="16"/>
      <w:szCs w:val="16"/>
    </w:rPr>
  </w:style>
  <w:style w:type="paragraph" w:customStyle="1" w:styleId="247">
    <w:name w:val="a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48">
    <w:name w:val="文档结构图 Char1"/>
    <w:basedOn w:val="122"/>
    <w:semiHidden/>
    <w:qFormat/>
    <w:uiPriority w:val="99"/>
    <w:rPr>
      <w:rFonts w:ascii="宋体" w:hAnsi="Times New Roman" w:eastAsia="宋体" w:cs="Times New Roman"/>
      <w:sz w:val="18"/>
      <w:szCs w:val="18"/>
    </w:rPr>
  </w:style>
  <w:style w:type="paragraph" w:customStyle="1" w:styleId="249">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character" w:customStyle="1" w:styleId="250">
    <w:name w:val="脚注文本 字符"/>
    <w:basedOn w:val="122"/>
    <w:link w:val="60"/>
    <w:semiHidden/>
    <w:qFormat/>
    <w:uiPriority w:val="0"/>
    <w:rPr>
      <w:rFonts w:ascii="Times New Roman" w:hAnsi="Times New Roman" w:eastAsia="宋体" w:cs="Times New Roman"/>
      <w:sz w:val="18"/>
      <w:szCs w:val="18"/>
    </w:rPr>
  </w:style>
  <w:style w:type="paragraph" w:customStyle="1" w:styleId="251">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character" w:customStyle="1" w:styleId="252">
    <w:name w:val="纯文本 Char2"/>
    <w:basedOn w:val="122"/>
    <w:semiHidden/>
    <w:qFormat/>
    <w:uiPriority w:val="99"/>
    <w:rPr>
      <w:rFonts w:ascii="宋体" w:hAnsi="Courier New" w:eastAsia="宋体" w:cs="Courier New"/>
      <w:szCs w:val="21"/>
    </w:rPr>
  </w:style>
  <w:style w:type="paragraph" w:customStyle="1" w:styleId="25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4">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5">
    <w:name w:val="标题 4（绿盟科技）"/>
    <w:basedOn w:val="6"/>
    <w:next w:val="1"/>
    <w:semiHidden/>
    <w:qFormat/>
    <w:uiPriority w:val="99"/>
    <w:pPr>
      <w:widowControl/>
      <w:tabs>
        <w:tab w:val="left" w:pos="360"/>
      </w:tabs>
      <w:ind w:left="1447" w:hanging="1021"/>
      <w:jc w:val="left"/>
    </w:pPr>
  </w:style>
  <w:style w:type="character" w:customStyle="1" w:styleId="256">
    <w:name w:val="信息标题 Char1"/>
    <w:basedOn w:val="122"/>
    <w:semiHidden/>
    <w:qFormat/>
    <w:uiPriority w:val="99"/>
    <w:rPr>
      <w:rFonts w:asciiTheme="majorHAnsi" w:hAnsiTheme="majorHAnsi" w:eastAsiaTheme="majorEastAsia" w:cstheme="majorBidi"/>
      <w:sz w:val="24"/>
      <w:szCs w:val="24"/>
      <w:shd w:val="pct20" w:color="auto" w:fill="auto"/>
    </w:rPr>
  </w:style>
  <w:style w:type="paragraph" w:customStyle="1" w:styleId="257">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character" w:customStyle="1" w:styleId="259">
    <w:name w:val="日期 Char1"/>
    <w:basedOn w:val="122"/>
    <w:semiHidden/>
    <w:qFormat/>
    <w:uiPriority w:val="99"/>
    <w:rPr>
      <w:rFonts w:ascii="Times New Roman" w:hAnsi="Times New Roman" w:eastAsia="宋体" w:cs="Times New Roman"/>
      <w:szCs w:val="21"/>
    </w:rPr>
  </w:style>
  <w:style w:type="paragraph" w:customStyle="1" w:styleId="260">
    <w:name w:val="_Style 3"/>
    <w:basedOn w:val="3"/>
    <w:next w:val="1"/>
    <w:qFormat/>
    <w:uiPriority w:val="39"/>
    <w:pPr>
      <w:keepNext/>
      <w:keepLines/>
      <w:tabs>
        <w:tab w:val="clear" w:pos="9061"/>
      </w:tabs>
      <w:spacing w:before="340" w:after="330" w:line="578" w:lineRule="auto"/>
      <w:jc w:val="both"/>
      <w:outlineLvl w:val="9"/>
    </w:pPr>
    <w:rPr>
      <w:bCs/>
      <w:iCs w:val="0"/>
      <w:kern w:val="44"/>
      <w:sz w:val="44"/>
      <w:szCs w:val="44"/>
    </w:rPr>
  </w:style>
  <w:style w:type="character" w:customStyle="1" w:styleId="261">
    <w:name w:val="标题 Char1"/>
    <w:basedOn w:val="122"/>
    <w:qFormat/>
    <w:uiPriority w:val="10"/>
    <w:rPr>
      <w:rFonts w:eastAsia="宋体" w:asciiTheme="majorHAnsi" w:hAnsiTheme="majorHAnsi" w:cstheme="majorBidi"/>
      <w:b/>
      <w:bCs/>
      <w:sz w:val="32"/>
      <w:szCs w:val="32"/>
    </w:rPr>
  </w:style>
  <w:style w:type="paragraph" w:customStyle="1" w:styleId="262">
    <w:name w:val="Char Char Char"/>
    <w:basedOn w:val="1"/>
    <w:qFormat/>
    <w:uiPriority w:val="99"/>
    <w:rPr>
      <w:rFonts w:ascii="宋体" w:hAnsi="宋体" w:cs="宋体"/>
      <w:b/>
      <w:bCs/>
      <w:sz w:val="28"/>
      <w:szCs w:val="28"/>
    </w:rPr>
  </w:style>
  <w:style w:type="paragraph" w:customStyle="1" w:styleId="263">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64">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65">
    <w:name w:val="正文2"/>
    <w:basedOn w:val="1"/>
    <w:semiHidden/>
    <w:qFormat/>
    <w:uiPriority w:val="99"/>
    <w:pPr>
      <w:spacing w:before="156" w:line="360" w:lineRule="auto"/>
      <w:ind w:firstLine="510" w:firstLineChars="200"/>
    </w:pPr>
    <w:rPr>
      <w:sz w:val="24"/>
      <w:szCs w:val="24"/>
    </w:rPr>
  </w:style>
  <w:style w:type="character" w:customStyle="1" w:styleId="266">
    <w:name w:val="正文文本缩进 2 Char2"/>
    <w:basedOn w:val="122"/>
    <w:semiHidden/>
    <w:qFormat/>
    <w:uiPriority w:val="99"/>
    <w:rPr>
      <w:rFonts w:ascii="Times New Roman" w:hAnsi="Times New Roman" w:eastAsia="宋体" w:cs="Times New Roman"/>
      <w:szCs w:val="21"/>
    </w:rPr>
  </w:style>
  <w:style w:type="paragraph" w:customStyle="1" w:styleId="267">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68">
    <w:name w:val="Normal_0"/>
    <w:qFormat/>
    <w:uiPriority w:val="0"/>
    <w:pPr>
      <w:spacing w:before="120" w:after="240"/>
      <w:jc w:val="both"/>
    </w:pPr>
    <w:rPr>
      <w:rFonts w:ascii="Times New Roman" w:hAnsi="Times New Roman" w:eastAsia="宋体" w:cs="Times New Roman"/>
      <w:sz w:val="22"/>
      <w:szCs w:val="22"/>
      <w:lang w:val="en-US" w:eastAsia="en-US" w:bidi="ar-SA"/>
    </w:rPr>
  </w:style>
  <w:style w:type="paragraph" w:customStyle="1" w:styleId="269">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70">
    <w:name w:val="正文居中"/>
    <w:basedOn w:val="1"/>
    <w:next w:val="75"/>
    <w:qFormat/>
    <w:uiPriority w:val="99"/>
    <w:pPr>
      <w:jc w:val="center"/>
    </w:pPr>
    <w:rPr>
      <w:sz w:val="24"/>
      <w:szCs w:val="24"/>
    </w:rPr>
  </w:style>
  <w:style w:type="character" w:customStyle="1" w:styleId="271">
    <w:name w:val="电子邮件签名 Char1"/>
    <w:basedOn w:val="122"/>
    <w:semiHidden/>
    <w:qFormat/>
    <w:uiPriority w:val="99"/>
    <w:rPr>
      <w:rFonts w:ascii="Times New Roman" w:hAnsi="Times New Roman" w:eastAsia="宋体" w:cs="Times New Roman"/>
      <w:szCs w:val="21"/>
    </w:rPr>
  </w:style>
  <w:style w:type="character" w:customStyle="1" w:styleId="272">
    <w:name w:val="正文文本缩进 3 Char1"/>
    <w:basedOn w:val="122"/>
    <w:semiHidden/>
    <w:qFormat/>
    <w:uiPriority w:val="99"/>
    <w:rPr>
      <w:rFonts w:ascii="Times New Roman" w:hAnsi="Times New Roman" w:eastAsia="宋体" w:cs="Times New Roman"/>
      <w:sz w:val="16"/>
      <w:szCs w:val="16"/>
    </w:rPr>
  </w:style>
  <w:style w:type="paragraph" w:customStyle="1" w:styleId="273">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character" w:customStyle="1" w:styleId="274">
    <w:name w:val="副标题 Char1"/>
    <w:basedOn w:val="122"/>
    <w:qFormat/>
    <w:uiPriority w:val="11"/>
    <w:rPr>
      <w:rFonts w:eastAsia="宋体" w:asciiTheme="majorHAnsi" w:hAnsiTheme="majorHAnsi" w:cstheme="majorBidi"/>
      <w:b/>
      <w:bCs/>
      <w:kern w:val="28"/>
      <w:sz w:val="32"/>
      <w:szCs w:val="32"/>
    </w:rPr>
  </w:style>
  <w:style w:type="paragraph" w:customStyle="1" w:styleId="275">
    <w:name w:val="列出段落4"/>
    <w:basedOn w:val="1"/>
    <w:qFormat/>
    <w:uiPriority w:val="0"/>
    <w:pPr>
      <w:ind w:firstLine="420" w:firstLineChars="200"/>
    </w:pPr>
    <w:rPr>
      <w:rFonts w:ascii="Calibri" w:hAnsi="Calibri" w:eastAsia="Times New Roman"/>
      <w:sz w:val="22"/>
      <w:szCs w:val="22"/>
    </w:rPr>
  </w:style>
  <w:style w:type="character" w:customStyle="1" w:styleId="276">
    <w:name w:val="签名 Char1"/>
    <w:basedOn w:val="122"/>
    <w:semiHidden/>
    <w:qFormat/>
    <w:uiPriority w:val="99"/>
    <w:rPr>
      <w:rFonts w:ascii="Times New Roman" w:hAnsi="Times New Roman" w:eastAsia="宋体" w:cs="Times New Roman"/>
      <w:szCs w:val="21"/>
    </w:rPr>
  </w:style>
  <w:style w:type="character" w:customStyle="1" w:styleId="277">
    <w:name w:val="批注文字 字符"/>
    <w:basedOn w:val="122"/>
    <w:link w:val="26"/>
    <w:semiHidden/>
    <w:qFormat/>
    <w:uiPriority w:val="99"/>
    <w:rPr>
      <w:rFonts w:ascii="Times New Roman" w:hAnsi="Times New Roman" w:eastAsia="宋体" w:cs="Times New Roman"/>
      <w:szCs w:val="21"/>
    </w:rPr>
  </w:style>
  <w:style w:type="character" w:customStyle="1" w:styleId="278">
    <w:name w:val="批注主题 Char1"/>
    <w:basedOn w:val="277"/>
    <w:semiHidden/>
    <w:qFormat/>
    <w:uiPriority w:val="99"/>
    <w:rPr>
      <w:rFonts w:ascii="Times New Roman" w:hAnsi="Times New Roman" w:eastAsia="宋体" w:cs="Times New Roman"/>
      <w:b/>
      <w:bCs/>
      <w:szCs w:val="21"/>
    </w:rPr>
  </w:style>
  <w:style w:type="character" w:customStyle="1" w:styleId="279">
    <w:name w:val="HTML 地址 Char1"/>
    <w:basedOn w:val="122"/>
    <w:semiHidden/>
    <w:qFormat/>
    <w:uiPriority w:val="99"/>
    <w:rPr>
      <w:rFonts w:ascii="Times New Roman" w:hAnsi="Times New Roman" w:eastAsia="宋体" w:cs="Times New Roman"/>
      <w:i/>
      <w:iCs/>
      <w:szCs w:val="21"/>
    </w:rPr>
  </w:style>
  <w:style w:type="paragraph" w:customStyle="1" w:styleId="280">
    <w:name w:val="列出段落3"/>
    <w:basedOn w:val="1"/>
    <w:qFormat/>
    <w:uiPriority w:val="0"/>
    <w:pPr>
      <w:ind w:firstLine="420" w:firstLineChars="200"/>
    </w:pPr>
    <w:rPr>
      <w:rFonts w:ascii="Calibri" w:hAnsi="Calibri"/>
      <w:sz w:val="22"/>
      <w:szCs w:val="22"/>
    </w:rPr>
  </w:style>
  <w:style w:type="paragraph" w:customStyle="1" w:styleId="281">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character" w:customStyle="1" w:styleId="282">
    <w:name w:val="正文首行缩进 2 Char1"/>
    <w:basedOn w:val="245"/>
    <w:semiHidden/>
    <w:qFormat/>
    <w:uiPriority w:val="99"/>
    <w:rPr>
      <w:rFonts w:ascii="Times New Roman" w:hAnsi="Times New Roman" w:eastAsia="宋体" w:cs="Times New Roman"/>
      <w:szCs w:val="21"/>
    </w:rPr>
  </w:style>
  <w:style w:type="character" w:customStyle="1" w:styleId="283">
    <w:name w:val="结束语 Char1"/>
    <w:basedOn w:val="122"/>
    <w:semiHidden/>
    <w:qFormat/>
    <w:uiPriority w:val="99"/>
    <w:rPr>
      <w:rFonts w:ascii="Times New Roman" w:hAnsi="Times New Roman" w:eastAsia="宋体" w:cs="Times New Roman"/>
      <w:szCs w:val="21"/>
    </w:rPr>
  </w:style>
  <w:style w:type="paragraph" w:customStyle="1" w:styleId="284">
    <w:name w:val="WPSOffice手动目录 1"/>
    <w:qFormat/>
    <w:uiPriority w:val="0"/>
    <w:rPr>
      <w:rFonts w:ascii="Times New Roman" w:hAnsi="Times New Roman" w:eastAsia="宋体" w:cs="Times New Roman"/>
      <w:lang w:val="en-US" w:eastAsia="zh-CN" w:bidi="ar-SA"/>
    </w:rPr>
  </w:style>
  <w:style w:type="paragraph" w:customStyle="1" w:styleId="285">
    <w:name w:val="Char Char 字元 字元 字元 Char Char Char Char"/>
    <w:basedOn w:val="1"/>
    <w:qFormat/>
    <w:uiPriority w:val="99"/>
    <w:pPr>
      <w:adjustRightInd w:val="0"/>
      <w:spacing w:line="360" w:lineRule="auto"/>
    </w:pPr>
    <w:rPr>
      <w:kern w:val="0"/>
      <w:sz w:val="24"/>
      <w:szCs w:val="24"/>
    </w:rPr>
  </w:style>
  <w:style w:type="paragraph" w:customStyle="1" w:styleId="286">
    <w:name w:val="标题 2（绿盟科技）"/>
    <w:basedOn w:val="4"/>
    <w:next w:val="1"/>
    <w:semiHidden/>
    <w:qFormat/>
    <w:uiPriority w:val="99"/>
    <w:pPr>
      <w:numPr>
        <w:numId w:val="3"/>
      </w:numPr>
      <w:tabs>
        <w:tab w:val="left" w:pos="0"/>
        <w:tab w:val="left" w:pos="840"/>
        <w:tab w:val="left" w:pos="1440"/>
      </w:tabs>
      <w:spacing w:line="415" w:lineRule="auto"/>
      <w:jc w:val="left"/>
    </w:pPr>
  </w:style>
  <w:style w:type="paragraph" w:customStyle="1" w:styleId="287">
    <w:name w:val="需求书2"/>
    <w:basedOn w:val="1"/>
    <w:qFormat/>
    <w:uiPriority w:val="0"/>
    <w:pPr>
      <w:spacing w:line="400" w:lineRule="exact"/>
    </w:pPr>
    <w:rPr>
      <w:rFonts w:ascii="黑体" w:hAnsi="Calibri" w:eastAsia="黑体"/>
      <w:b/>
      <w:bCs/>
      <w:sz w:val="32"/>
      <w:szCs w:val="20"/>
    </w:rPr>
  </w:style>
  <w:style w:type="character" w:customStyle="1" w:styleId="288">
    <w:name w:val="正文文本 2 Char1"/>
    <w:basedOn w:val="122"/>
    <w:semiHidden/>
    <w:qFormat/>
    <w:uiPriority w:val="99"/>
    <w:rPr>
      <w:rFonts w:ascii="Times New Roman" w:hAnsi="Times New Roman" w:eastAsia="宋体" w:cs="Times New Roman"/>
      <w:szCs w:val="21"/>
    </w:rPr>
  </w:style>
  <w:style w:type="paragraph" w:customStyle="1" w:styleId="289">
    <w:name w:val="TOC 标题1"/>
    <w:basedOn w:val="3"/>
    <w:next w:val="1"/>
    <w:qFormat/>
    <w:uiPriority w:val="39"/>
    <w:pPr>
      <w:keepNext/>
      <w:keepLines/>
      <w:tabs>
        <w:tab w:val="clear" w:pos="9061"/>
      </w:tabs>
      <w:spacing w:before="340" w:after="330" w:line="578" w:lineRule="auto"/>
      <w:jc w:val="both"/>
      <w:outlineLvl w:val="9"/>
    </w:pPr>
    <w:rPr>
      <w:bCs/>
      <w:iCs w:val="0"/>
      <w:kern w:val="44"/>
      <w:sz w:val="44"/>
      <w:szCs w:val="44"/>
    </w:rPr>
  </w:style>
  <w:style w:type="paragraph" w:customStyle="1" w:styleId="290">
    <w:name w:val="样式7"/>
    <w:basedOn w:val="1"/>
    <w:qFormat/>
    <w:uiPriority w:val="0"/>
    <w:pPr>
      <w:widowControl/>
      <w:spacing w:line="480" w:lineRule="exact"/>
      <w:jc w:val="center"/>
    </w:pPr>
    <w:rPr>
      <w:rFonts w:eastAsia="方正大标宋简体"/>
      <w:spacing w:val="6"/>
      <w:kern w:val="0"/>
      <w:sz w:val="44"/>
      <w:szCs w:val="20"/>
    </w:rPr>
  </w:style>
  <w:style w:type="paragraph" w:customStyle="1" w:styleId="291">
    <w:name w:val="表格标注（绿盟科技）"/>
    <w:basedOn w:val="292"/>
    <w:next w:val="1"/>
    <w:semiHidden/>
    <w:qFormat/>
    <w:uiPriority w:val="99"/>
    <w:pPr>
      <w:tabs>
        <w:tab w:val="left" w:pos="1620"/>
        <w:tab w:val="left" w:pos="1680"/>
        <w:tab w:val="left" w:pos="2100"/>
      </w:tabs>
      <w:ind w:left="1620" w:hanging="360"/>
    </w:pPr>
  </w:style>
  <w:style w:type="paragraph" w:customStyle="1" w:styleId="292">
    <w:name w:val="插图标注（绿盟科技）"/>
    <w:next w:val="1"/>
    <w:semiHidden/>
    <w:qFormat/>
    <w:uiPriority w:val="99"/>
    <w:pPr>
      <w:tabs>
        <w:tab w:val="left" w:pos="1680"/>
      </w:tabs>
      <w:spacing w:after="156"/>
      <w:ind w:left="426"/>
      <w:jc w:val="center"/>
    </w:pPr>
    <w:rPr>
      <w:rFonts w:ascii="Arial" w:hAnsi="Arial" w:eastAsia="宋体" w:cs="Arial"/>
      <w:sz w:val="21"/>
      <w:szCs w:val="21"/>
      <w:lang w:val="en-US" w:eastAsia="zh-CN" w:bidi="ar-SA"/>
    </w:rPr>
  </w:style>
  <w:style w:type="paragraph" w:customStyle="1" w:styleId="293">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94">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95">
    <w:name w:val="111111"/>
    <w:basedOn w:val="73"/>
    <w:qFormat/>
    <w:uiPriority w:val="99"/>
    <w:pPr>
      <w:jc w:val="both"/>
    </w:pPr>
  </w:style>
  <w:style w:type="paragraph" w:customStyle="1" w:styleId="296">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97">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298">
    <w:name w:val="简单回函地址"/>
    <w:basedOn w:val="1"/>
    <w:qFormat/>
    <w:uiPriority w:val="99"/>
  </w:style>
  <w:style w:type="paragraph" w:styleId="299">
    <w:name w:val="List Paragraph"/>
    <w:basedOn w:val="1"/>
    <w:qFormat/>
    <w:uiPriority w:val="34"/>
    <w:pPr>
      <w:ind w:firstLine="420" w:firstLineChars="200"/>
    </w:pPr>
    <w:rPr>
      <w:szCs w:val="24"/>
    </w:rPr>
  </w:style>
  <w:style w:type="paragraph" w:customStyle="1" w:styleId="30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2">
    <w:name w:val="HR标题8"/>
    <w:basedOn w:val="1"/>
    <w:next w:val="165"/>
    <w:qFormat/>
    <w:uiPriority w:val="0"/>
    <w:pPr>
      <w:numPr>
        <w:ilvl w:val="7"/>
        <w:numId w:val="3"/>
      </w:numPr>
      <w:tabs>
        <w:tab w:val="left" w:pos="1531"/>
      </w:tabs>
      <w:spacing w:line="360" w:lineRule="auto"/>
      <w:outlineLvl w:val="7"/>
    </w:pPr>
    <w:rPr>
      <w:sz w:val="24"/>
      <w:szCs w:val="24"/>
    </w:rPr>
  </w:style>
  <w:style w:type="paragraph" w:customStyle="1" w:styleId="303">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cs="Arial"/>
      <w:b/>
      <w:bCs/>
      <w:kern w:val="0"/>
      <w:sz w:val="24"/>
      <w:szCs w:val="24"/>
    </w:rPr>
  </w:style>
  <w:style w:type="paragraph" w:customStyle="1" w:styleId="304">
    <w:name w:val="Char"/>
    <w:basedOn w:val="1"/>
    <w:qFormat/>
    <w:uiPriority w:val="99"/>
    <w:pPr>
      <w:tabs>
        <w:tab w:val="left" w:pos="708"/>
      </w:tabs>
      <w:ind w:firstLine="420"/>
    </w:pPr>
    <w:rPr>
      <w:rFonts w:ascii="仿宋_GB2312" w:eastAsia="仿宋_GB2312" w:cs="仿宋_GB2312"/>
      <w:sz w:val="24"/>
      <w:szCs w:val="24"/>
    </w:rPr>
  </w:style>
  <w:style w:type="paragraph" w:customStyle="1" w:styleId="30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6">
    <w:name w:val="Char Char Char Char"/>
    <w:basedOn w:val="1"/>
    <w:qFormat/>
    <w:uiPriority w:val="99"/>
    <w:rPr>
      <w:rFonts w:ascii="Tahoma" w:hAnsi="Tahoma" w:cs="Tahoma"/>
      <w:sz w:val="24"/>
      <w:szCs w:val="24"/>
    </w:rPr>
  </w:style>
  <w:style w:type="paragraph" w:customStyle="1" w:styleId="307">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308">
    <w:name w:val="正文1"/>
    <w:basedOn w:val="1"/>
    <w:qFormat/>
    <w:uiPriority w:val="0"/>
    <w:pPr>
      <w:adjustRightInd w:val="0"/>
      <w:spacing w:line="400" w:lineRule="atLeast"/>
      <w:ind w:firstLine="1134"/>
      <w:jc w:val="left"/>
      <w:textAlignment w:val="baseline"/>
    </w:pPr>
    <w:rPr>
      <w:rFonts w:ascii="宋体"/>
      <w:kern w:val="0"/>
      <w:sz w:val="24"/>
      <w:szCs w:val="20"/>
    </w:rPr>
  </w:style>
  <w:style w:type="paragraph" w:customStyle="1" w:styleId="309">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0">
    <w:name w:val="HR标题6"/>
    <w:basedOn w:val="1"/>
    <w:next w:val="165"/>
    <w:qFormat/>
    <w:uiPriority w:val="0"/>
    <w:pPr>
      <w:numPr>
        <w:ilvl w:val="5"/>
        <w:numId w:val="3"/>
      </w:numPr>
      <w:tabs>
        <w:tab w:val="left" w:pos="1134"/>
      </w:tabs>
      <w:spacing w:line="360" w:lineRule="auto"/>
      <w:outlineLvl w:val="5"/>
    </w:pPr>
    <w:rPr>
      <w:sz w:val="24"/>
      <w:szCs w:val="24"/>
    </w:rPr>
  </w:style>
  <w:style w:type="paragraph" w:customStyle="1" w:styleId="311">
    <w:name w:val="列出段落1"/>
    <w:basedOn w:val="1"/>
    <w:qFormat/>
    <w:uiPriority w:val="34"/>
    <w:pPr>
      <w:ind w:firstLine="420" w:firstLineChars="200"/>
    </w:pPr>
  </w:style>
  <w:style w:type="paragraph" w:customStyle="1" w:styleId="312">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13">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4">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15">
    <w:name w:val="HR标题1"/>
    <w:basedOn w:val="1"/>
    <w:next w:val="165"/>
    <w:qFormat/>
    <w:uiPriority w:val="0"/>
    <w:pPr>
      <w:tabs>
        <w:tab w:val="left" w:pos="284"/>
        <w:tab w:val="left" w:pos="360"/>
      </w:tabs>
      <w:spacing w:line="360" w:lineRule="auto"/>
      <w:ind w:left="360" w:hanging="360"/>
      <w:outlineLvl w:val="0"/>
    </w:pPr>
    <w:rPr>
      <w:rFonts w:eastAsia="黑体"/>
      <w:sz w:val="24"/>
      <w:szCs w:val="24"/>
    </w:rPr>
  </w:style>
  <w:style w:type="paragraph" w:customStyle="1" w:styleId="316">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17">
    <w:name w:val="样式1"/>
    <w:basedOn w:val="6"/>
    <w:qFormat/>
    <w:uiPriority w:val="99"/>
    <w:pPr>
      <w:autoSpaceDE w:val="0"/>
      <w:autoSpaceDN w:val="0"/>
      <w:adjustRightInd w:val="0"/>
      <w:spacing w:line="500" w:lineRule="exact"/>
      <w:ind w:firstLine="490" w:firstLineChars="204"/>
      <w:jc w:val="left"/>
    </w:pPr>
    <w:rPr>
      <w:rFonts w:ascii="宋体" w:hAnsi="宋体" w:cs="宋体"/>
      <w:sz w:val="24"/>
      <w:szCs w:val="24"/>
    </w:rPr>
  </w:style>
  <w:style w:type="paragraph" w:customStyle="1" w:styleId="318">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319">
    <w:name w:val="标题 6（有编号）（绿盟科技）"/>
    <w:basedOn w:val="1"/>
    <w:next w:val="1"/>
    <w:semiHidden/>
    <w:qFormat/>
    <w:uiPriority w:val="99"/>
    <w:pPr>
      <w:keepNext/>
      <w:keepLines/>
      <w:tabs>
        <w:tab w:val="left" w:pos="1260"/>
      </w:tabs>
      <w:spacing w:line="319" w:lineRule="auto"/>
      <w:ind w:left="1673" w:hanging="1247"/>
      <w:jc w:val="left"/>
      <w:outlineLvl w:val="5"/>
    </w:pPr>
    <w:rPr>
      <w:rFonts w:ascii="Arial" w:hAnsi="Arial" w:eastAsia="黑体" w:cs="Arial"/>
      <w:b/>
      <w:bCs/>
      <w:kern w:val="0"/>
    </w:rPr>
  </w:style>
  <w:style w:type="paragraph" w:customStyle="1" w:styleId="320">
    <w:name w:val="标题 3（绿盟科技）"/>
    <w:basedOn w:val="5"/>
    <w:next w:val="1"/>
    <w:semiHidden/>
    <w:qFormat/>
    <w:uiPriority w:val="99"/>
    <w:pPr>
      <w:tabs>
        <w:tab w:val="left" w:pos="960"/>
        <w:tab w:val="left" w:pos="1260"/>
      </w:tabs>
      <w:spacing w:line="415" w:lineRule="auto"/>
      <w:ind w:left="1260" w:firstLine="147" w:firstLineChars="147"/>
      <w:jc w:val="left"/>
    </w:pPr>
    <w:rPr>
      <w:rFonts w:ascii="Arial" w:hAnsi="Arial" w:eastAsia="黑体" w:cs="Arial"/>
      <w:sz w:val="30"/>
      <w:szCs w:val="30"/>
    </w:rPr>
  </w:style>
  <w:style w:type="paragraph" w:customStyle="1" w:styleId="321">
    <w:name w:val="表格"/>
    <w:basedOn w:val="1"/>
    <w:next w:val="1"/>
    <w:qFormat/>
    <w:uiPriority w:val="0"/>
    <w:pPr>
      <w:spacing w:beforeLines="50" w:afterLines="50"/>
      <w:jc w:val="left"/>
    </w:pPr>
    <w:rPr>
      <w:rFonts w:ascii="宋体" w:hAnsi="宋体"/>
    </w:rPr>
  </w:style>
  <w:style w:type="paragraph" w:customStyle="1" w:styleId="322">
    <w:name w:val="HR标题4"/>
    <w:basedOn w:val="1"/>
    <w:next w:val="165"/>
    <w:qFormat/>
    <w:uiPriority w:val="0"/>
    <w:pPr>
      <w:numPr>
        <w:ilvl w:val="3"/>
        <w:numId w:val="3"/>
      </w:numPr>
      <w:tabs>
        <w:tab w:val="left" w:pos="974"/>
      </w:tabs>
      <w:spacing w:line="360" w:lineRule="auto"/>
      <w:outlineLvl w:val="3"/>
    </w:pPr>
    <w:rPr>
      <w:sz w:val="24"/>
      <w:szCs w:val="24"/>
    </w:rPr>
  </w:style>
  <w:style w:type="paragraph" w:customStyle="1" w:styleId="32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24">
    <w:name w:val="标题 1（绿盟科技）"/>
    <w:basedOn w:val="3"/>
    <w:next w:val="1"/>
    <w:semiHidden/>
    <w:qFormat/>
    <w:uiPriority w:val="99"/>
    <w:pPr>
      <w:pBdr>
        <w:bottom w:val="single" w:color="auto" w:sz="48" w:space="1"/>
      </w:pBdr>
      <w:tabs>
        <w:tab w:val="left" w:pos="360"/>
      </w:tabs>
      <w:spacing w:line="576" w:lineRule="auto"/>
      <w:ind w:left="360" w:hanging="360"/>
      <w:jc w:val="left"/>
    </w:pPr>
    <w:rPr>
      <w:rFonts w:ascii="Arial" w:hAnsi="Arial" w:eastAsia="黑体" w:cs="Arial"/>
    </w:rPr>
  </w:style>
  <w:style w:type="paragraph" w:customStyle="1" w:styleId="325">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2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_Style 9"/>
    <w:basedOn w:val="1"/>
    <w:qFormat/>
    <w:uiPriority w:val="0"/>
    <w:pPr>
      <w:autoSpaceDE w:val="0"/>
      <w:autoSpaceDN w:val="0"/>
      <w:adjustRightInd w:val="0"/>
      <w:spacing w:line="240" w:lineRule="atLeast"/>
      <w:ind w:firstLine="420"/>
      <w:jc w:val="left"/>
    </w:pPr>
    <w:rPr>
      <w:rFonts w:ascii="宋体"/>
      <w:kern w:val="0"/>
      <w:sz w:val="34"/>
      <w:szCs w:val="34"/>
      <w:lang w:val="zh-CN"/>
    </w:rPr>
  </w:style>
  <w:style w:type="paragraph" w:customStyle="1" w:styleId="328">
    <w:name w:val="样式5"/>
    <w:basedOn w:val="1"/>
    <w:next w:val="41"/>
    <w:qFormat/>
    <w:uiPriority w:val="99"/>
    <w:pPr>
      <w:tabs>
        <w:tab w:val="left" w:pos="980"/>
      </w:tabs>
      <w:spacing w:line="360" w:lineRule="auto"/>
      <w:ind w:left="140" w:right="-20"/>
      <w:outlineLvl w:val="0"/>
    </w:pPr>
    <w:rPr>
      <w:b/>
      <w:bCs/>
      <w:kern w:val="0"/>
      <w:sz w:val="28"/>
      <w:szCs w:val="28"/>
    </w:rPr>
  </w:style>
  <w:style w:type="paragraph" w:customStyle="1" w:styleId="329">
    <w:name w:val="样式目录三"/>
    <w:basedOn w:val="41"/>
    <w:semiHidden/>
    <w:qFormat/>
    <w:uiPriority w:val="99"/>
    <w:pPr>
      <w:tabs>
        <w:tab w:val="left" w:pos="1320"/>
        <w:tab w:val="left" w:pos="2520"/>
        <w:tab w:val="right" w:leader="dot" w:pos="8597"/>
      </w:tabs>
      <w:ind w:left="0"/>
      <w:outlineLvl w:val="2"/>
    </w:pPr>
    <w:rPr>
      <w:iCs w:val="0"/>
      <w:szCs w:val="24"/>
    </w:rPr>
  </w:style>
  <w:style w:type="paragraph" w:customStyle="1" w:styleId="330">
    <w:name w:val="表题"/>
    <w:basedOn w:val="42"/>
    <w:qFormat/>
    <w:uiPriority w:val="99"/>
    <w:pPr>
      <w:adjustRightInd w:val="0"/>
      <w:spacing w:line="480" w:lineRule="auto"/>
      <w:jc w:val="center"/>
    </w:pPr>
    <w:rPr>
      <w:rFonts w:ascii="Times New Roman" w:hAnsi="Times New Roman" w:eastAsia="黑体"/>
      <w:sz w:val="18"/>
      <w:szCs w:val="18"/>
    </w:rPr>
  </w:style>
  <w:style w:type="paragraph" w:customStyle="1" w:styleId="331">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32">
    <w:name w:val="示例"/>
    <w:qFormat/>
    <w:uiPriority w:val="99"/>
    <w:pPr>
      <w:jc w:val="both"/>
    </w:pPr>
    <w:rPr>
      <w:rFonts w:ascii="宋体" w:hAnsi="Times New Roman" w:eastAsia="宋体" w:cs="宋体"/>
      <w:sz w:val="18"/>
      <w:szCs w:val="18"/>
      <w:lang w:val="en-US" w:eastAsia="zh-CN" w:bidi="ar-SA"/>
    </w:rPr>
  </w:style>
  <w:style w:type="paragraph" w:customStyle="1" w:styleId="333">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34">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35">
    <w:name w:val="xl33"/>
    <w:basedOn w:val="236"/>
    <w:qFormat/>
    <w:uiPriority w:val="99"/>
    <w:pPr>
      <w:pBdr>
        <w:bottom w:val="single" w:color="auto" w:sz="4" w:space="0"/>
        <w:right w:val="single" w:color="auto" w:sz="4" w:space="0"/>
      </w:pBdr>
      <w:jc w:val="center"/>
    </w:pPr>
    <w:rPr>
      <w:sz w:val="20"/>
      <w:szCs w:val="20"/>
    </w:rPr>
  </w:style>
  <w:style w:type="paragraph" w:customStyle="1" w:styleId="336">
    <w:name w:val="HR标题2"/>
    <w:basedOn w:val="1"/>
    <w:next w:val="165"/>
    <w:qFormat/>
    <w:uiPriority w:val="0"/>
    <w:pPr>
      <w:tabs>
        <w:tab w:val="left" w:pos="454"/>
        <w:tab w:val="left" w:pos="840"/>
      </w:tabs>
      <w:spacing w:line="360" w:lineRule="auto"/>
      <w:ind w:left="840" w:hanging="420"/>
      <w:outlineLvl w:val="1"/>
    </w:pPr>
    <w:rPr>
      <w:rFonts w:eastAsia="黑体"/>
      <w:sz w:val="24"/>
      <w:szCs w:val="24"/>
    </w:rPr>
  </w:style>
  <w:style w:type="paragraph" w:customStyle="1" w:styleId="337">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cs="仿宋_GB2312"/>
      <w:kern w:val="0"/>
      <w:sz w:val="24"/>
      <w:szCs w:val="24"/>
    </w:rPr>
  </w:style>
  <w:style w:type="paragraph" w:customStyle="1" w:styleId="338">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39">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0">
    <w:name w:val="表内文字"/>
    <w:basedOn w:val="1"/>
    <w:qFormat/>
    <w:uiPriority w:val="0"/>
    <w:pPr>
      <w:spacing w:line="360" w:lineRule="auto"/>
      <w:jc w:val="center"/>
    </w:pPr>
    <w:rPr>
      <w:rFonts w:ascii="宋体" w:hAnsi="宋体"/>
      <w:b/>
      <w:bCs/>
      <w:sz w:val="28"/>
      <w:szCs w:val="24"/>
    </w:rPr>
  </w:style>
  <w:style w:type="paragraph" w:customStyle="1" w:styleId="341">
    <w:name w:val="HR标题7"/>
    <w:basedOn w:val="1"/>
    <w:next w:val="165"/>
    <w:qFormat/>
    <w:uiPriority w:val="0"/>
    <w:pPr>
      <w:numPr>
        <w:ilvl w:val="6"/>
        <w:numId w:val="3"/>
      </w:numPr>
      <w:tabs>
        <w:tab w:val="left" w:pos="1332"/>
      </w:tabs>
      <w:spacing w:line="360" w:lineRule="auto"/>
      <w:outlineLvl w:val="6"/>
    </w:pPr>
    <w:rPr>
      <w:sz w:val="24"/>
      <w:szCs w:val="24"/>
    </w:rPr>
  </w:style>
  <w:style w:type="paragraph" w:customStyle="1" w:styleId="342">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34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4">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黑体"/>
      <w:b/>
      <w:bCs/>
      <w:kern w:val="0"/>
      <w:sz w:val="28"/>
      <w:szCs w:val="28"/>
    </w:rPr>
  </w:style>
  <w:style w:type="paragraph" w:customStyle="1" w:styleId="345">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46">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7">
    <w:name w:val="样式 正文 + 小四 首行缩进:  2 字符"/>
    <w:basedOn w:val="1"/>
    <w:qFormat/>
    <w:uiPriority w:val="0"/>
    <w:pPr>
      <w:numPr>
        <w:ilvl w:val="1"/>
        <w:numId w:val="5"/>
      </w:numPr>
      <w:spacing w:line="440" w:lineRule="exact"/>
    </w:pPr>
    <w:rPr>
      <w:rFonts w:cs="宋体"/>
      <w:kern w:val="0"/>
      <w:sz w:val="24"/>
      <w:szCs w:val="20"/>
    </w:rPr>
  </w:style>
  <w:style w:type="paragraph" w:customStyle="1" w:styleId="348">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349">
    <w:name w:val="A Lieferumfang Aufzählung"/>
    <w:basedOn w:val="1"/>
    <w:qFormat/>
    <w:uiPriority w:val="99"/>
    <w:pPr>
      <w:keepNext/>
      <w:widowControl/>
      <w:numPr>
        <w:ilvl w:val="0"/>
        <w:numId w:val="6"/>
      </w:numPr>
      <w:tabs>
        <w:tab w:val="left" w:pos="1701"/>
      </w:tabs>
      <w:spacing w:line="360" w:lineRule="auto"/>
      <w:jc w:val="left"/>
    </w:pPr>
    <w:rPr>
      <w:rFonts w:ascii="Arial" w:hAnsi="Arial"/>
      <w:kern w:val="0"/>
      <w:sz w:val="20"/>
      <w:szCs w:val="20"/>
      <w:lang w:val="de-DE" w:eastAsia="de-DE"/>
    </w:rPr>
  </w:style>
  <w:style w:type="paragraph" w:customStyle="1" w:styleId="350">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cs="仿宋_GB2312"/>
      <w:kern w:val="0"/>
      <w:sz w:val="24"/>
      <w:szCs w:val="24"/>
    </w:rPr>
  </w:style>
  <w:style w:type="paragraph" w:customStyle="1" w:styleId="351">
    <w:name w:val="t4_2"/>
    <w:basedOn w:val="1"/>
    <w:qFormat/>
    <w:uiPriority w:val="99"/>
    <w:pPr>
      <w:widowControl/>
      <w:tabs>
        <w:tab w:val="left" w:pos="360"/>
      </w:tabs>
      <w:spacing w:line="360" w:lineRule="auto"/>
      <w:ind w:left="420"/>
      <w:jc w:val="left"/>
    </w:pPr>
    <w:rPr>
      <w:b/>
      <w:bCs/>
    </w:rPr>
  </w:style>
  <w:style w:type="paragraph" w:customStyle="1" w:styleId="352">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53">
    <w:name w:val="文字正文"/>
    <w:basedOn w:val="1"/>
    <w:qFormat/>
    <w:uiPriority w:val="0"/>
    <w:rPr>
      <w:szCs w:val="24"/>
    </w:rPr>
  </w:style>
  <w:style w:type="paragraph" w:customStyle="1" w:styleId="354">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55">
    <w:name w:val="HR标题5"/>
    <w:basedOn w:val="1"/>
    <w:next w:val="165"/>
    <w:qFormat/>
    <w:uiPriority w:val="0"/>
    <w:pPr>
      <w:tabs>
        <w:tab w:val="left" w:pos="1504"/>
        <w:tab w:val="left" w:pos="2100"/>
      </w:tabs>
      <w:spacing w:line="360" w:lineRule="auto"/>
      <w:ind w:left="2100" w:hanging="420"/>
      <w:outlineLvl w:val="4"/>
    </w:pPr>
    <w:rPr>
      <w:sz w:val="24"/>
      <w:szCs w:val="24"/>
    </w:rPr>
  </w:style>
  <w:style w:type="paragraph" w:customStyle="1" w:styleId="356">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57">
    <w:name w:val="修订1"/>
    <w:unhideWhenUsed/>
    <w:qFormat/>
    <w:uiPriority w:val="99"/>
    <w:rPr>
      <w:rFonts w:ascii="Times New Roman" w:hAnsi="Times New Roman" w:eastAsia="宋体" w:cs="Times New Roman"/>
      <w:kern w:val="2"/>
      <w:sz w:val="21"/>
      <w:szCs w:val="21"/>
      <w:lang w:val="en-US" w:eastAsia="zh-CN" w:bidi="ar-SA"/>
    </w:rPr>
  </w:style>
  <w:style w:type="paragraph" w:customStyle="1" w:styleId="358">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359">
    <w:name w:val="scfErstekopfzeile"/>
    <w:basedOn w:val="1"/>
    <w:qFormat/>
    <w:uiPriority w:val="99"/>
    <w:pPr>
      <w:widowControl/>
      <w:tabs>
        <w:tab w:val="left" w:pos="1701"/>
      </w:tabs>
      <w:jc w:val="left"/>
    </w:pPr>
    <w:rPr>
      <w:rFonts w:ascii="Arial" w:hAnsi="Arial"/>
      <w:vanish/>
      <w:kern w:val="0"/>
      <w:sz w:val="16"/>
      <w:szCs w:val="20"/>
      <w:lang w:val="de-DE" w:eastAsia="en-US"/>
    </w:rPr>
  </w:style>
  <w:style w:type="table" w:customStyle="1" w:styleId="360">
    <w:name w:val="浅色网格1"/>
    <w:basedOn w:val="77"/>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eastAsia="System"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eastAsia="System"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eastAsia="System" w:cs="Times New Roman"/>
        <w:b/>
        <w:bCs/>
      </w:rPr>
    </w:tblStylePr>
    <w:tblStylePr w:type="lastCol">
      <w:rPr>
        <w:rFonts w:eastAsia="System"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paragraph" w:customStyle="1" w:styleId="36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62">
    <w:name w:val="标题 11"/>
    <w:basedOn w:val="1"/>
    <w:qFormat/>
    <w:uiPriority w:val="1"/>
    <w:pPr>
      <w:autoSpaceDE w:val="0"/>
      <w:autoSpaceDN w:val="0"/>
      <w:spacing w:before="1"/>
      <w:ind w:left="240"/>
      <w:jc w:val="left"/>
      <w:outlineLvl w:val="1"/>
    </w:pPr>
    <w:rPr>
      <w:rFonts w:ascii="宋体" w:hAnsi="宋体" w:cs="宋体"/>
      <w:b/>
      <w:bCs/>
      <w:kern w:val="0"/>
      <w:sz w:val="24"/>
      <w:szCs w:val="24"/>
      <w:lang w:val="zh-CN" w:bidi="zh-CN"/>
    </w:rPr>
  </w:style>
  <w:style w:type="character" w:customStyle="1" w:styleId="363">
    <w:name w:val="标书表格 字符"/>
    <w:link w:val="364"/>
    <w:qFormat/>
    <w:uiPriority w:val="0"/>
    <w:rPr>
      <w:b/>
    </w:rPr>
  </w:style>
  <w:style w:type="paragraph" w:customStyle="1" w:styleId="364">
    <w:name w:val="标书表格"/>
    <w:basedOn w:val="1"/>
    <w:link w:val="363"/>
    <w:qFormat/>
    <w:uiPriority w:val="0"/>
    <w:pPr>
      <w:jc w:val="center"/>
    </w:pPr>
    <w:rPr>
      <w:rFonts w:asciiTheme="minorHAnsi" w:hAnsiTheme="minorHAnsi" w:eastAsiaTheme="minorEastAsia" w:cstheme="minorBidi"/>
      <w:b/>
      <w:szCs w:val="22"/>
    </w:rPr>
  </w:style>
  <w:style w:type="character" w:customStyle="1" w:styleId="365">
    <w:name w:val="标书三级标题 字符"/>
    <w:link w:val="366"/>
    <w:qFormat/>
    <w:uiPriority w:val="0"/>
    <w:rPr>
      <w:b/>
      <w:bCs/>
      <w:color w:val="000000"/>
      <w:sz w:val="24"/>
      <w:szCs w:val="24"/>
    </w:rPr>
  </w:style>
  <w:style w:type="paragraph" w:customStyle="1" w:styleId="366">
    <w:name w:val="标书三级标题"/>
    <w:basedOn w:val="5"/>
    <w:link w:val="365"/>
    <w:qFormat/>
    <w:uiPriority w:val="0"/>
    <w:pPr>
      <w:numPr>
        <w:ilvl w:val="0"/>
        <w:numId w:val="0"/>
      </w:numPr>
      <w:spacing w:line="240" w:lineRule="auto"/>
      <w:ind w:firstLine="482" w:firstLineChars="200"/>
    </w:pPr>
    <w:rPr>
      <w:rFonts w:asciiTheme="minorHAnsi" w:hAnsiTheme="minorHAnsi" w:eastAsiaTheme="minorEastAsia" w:cstheme="minorBidi"/>
      <w:color w:val="000000"/>
      <w:kern w:val="2"/>
      <w:sz w:val="24"/>
      <w:szCs w:val="24"/>
    </w:rPr>
  </w:style>
  <w:style w:type="paragraph" w:customStyle="1" w:styleId="367">
    <w:name w:val="BodyTextIndent"/>
    <w:basedOn w:val="1"/>
    <w:qFormat/>
    <w:uiPriority w:val="99"/>
    <w:pPr>
      <w:ind w:firstLine="480" w:firstLineChars="200"/>
    </w:pPr>
  </w:style>
  <w:style w:type="paragraph" w:customStyle="1" w:styleId="368">
    <w:name w:val="Heading2"/>
    <w:basedOn w:val="1"/>
    <w:next w:val="1"/>
    <w:qFormat/>
    <w:uiPriority w:val="99"/>
    <w:pPr>
      <w:keepNext/>
      <w:keepLines/>
      <w:spacing w:before="260" w:after="260" w:line="416" w:lineRule="auto"/>
    </w:pPr>
    <w:rPr>
      <w:rFonts w:ascii="Arial" w:hAnsi="Arial" w:eastAsia="黑体"/>
      <w:b/>
      <w:bCs/>
      <w:sz w:val="32"/>
      <w:szCs w:val="32"/>
    </w:rPr>
  </w:style>
  <w:style w:type="paragraph" w:customStyle="1" w:styleId="369">
    <w:name w:val="Heading1"/>
    <w:basedOn w:val="1"/>
    <w:next w:val="1"/>
    <w:qFormat/>
    <w:uiPriority w:val="99"/>
    <w:pPr>
      <w:keepNext/>
      <w:keepLines/>
      <w:spacing w:before="340" w:after="330" w:line="578" w:lineRule="auto"/>
    </w:pPr>
    <w:rPr>
      <w:b/>
      <w:bCs/>
      <w:kern w:val="44"/>
      <w:sz w:val="44"/>
      <w:szCs w:val="44"/>
    </w:rPr>
  </w:style>
  <w:style w:type="character" w:customStyle="1" w:styleId="370">
    <w:name w:val="font01"/>
    <w:basedOn w:val="122"/>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ZQ</Company>
  <Pages>66</Pages>
  <Words>37690</Words>
  <Characters>39719</Characters>
  <Lines>335</Lines>
  <Paragraphs>94</Paragraphs>
  <TotalTime>5</TotalTime>
  <ScaleCrop>false</ScaleCrop>
  <LinksUpToDate>false</LinksUpToDate>
  <CharactersWithSpaces>43764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2021-08-04T01:12:00Z</dcterms:created>
  <dc:creator>JonMMx 2000</dc:creator>
  <cp:lastModifiedBy>W</cp:lastModifiedBy>
  <dcterms:modified xsi:type="dcterms:W3CDTF">2023-10-27T23:53:58Z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74A74A1A7A524746A16707A9AB6FDC1F_13</vt:lpwstr>
  </property>
</Properties>
</file>